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FC9E3" w14:textId="525A9473" w:rsidR="00264D02" w:rsidRPr="00152A17" w:rsidRDefault="00551E96" w:rsidP="00DF5B65">
      <w:pPr>
        <w:shd w:val="clear" w:color="auto" w:fill="FFFFFF"/>
        <w:bidi/>
        <w:spacing w:after="0" w:line="240" w:lineRule="auto"/>
        <w:jc w:val="center"/>
        <w:rPr>
          <w:rFonts w:ascii="Ebrima" w:eastAsia="Times New Roman" w:hAnsi="Ebrima" w:cs="Arial"/>
          <w:b/>
          <w:bCs/>
          <w:color w:val="222222"/>
          <w:kern w:val="0"/>
          <w:sz w:val="36"/>
          <w:szCs w:val="36"/>
          <w:lang w:eastAsia="fr-FR" w:bidi="ar-MA"/>
          <w14:ligatures w14:val="none"/>
        </w:rPr>
      </w:pPr>
      <w:r w:rsidRPr="00152A17">
        <w:rPr>
          <w:rFonts w:ascii="Ebrima" w:eastAsia="Times New Roman" w:hAnsi="Ebrima" w:cs="Arial" w:hint="cs"/>
          <w:b/>
          <w:bCs/>
          <w:noProof/>
          <w:color w:val="222222"/>
          <w:kern w:val="0"/>
          <w:sz w:val="36"/>
          <w:szCs w:val="36"/>
          <w:rtl/>
          <w:lang w:eastAsia="fr-FR"/>
        </w:rPr>
        <w:drawing>
          <wp:anchor distT="0" distB="0" distL="114300" distR="114300" simplePos="0" relativeHeight="251666432" behindDoc="0" locked="0" layoutInCell="1" allowOverlap="1" wp14:anchorId="08D452B8" wp14:editId="123E989D">
            <wp:simplePos x="0" y="0"/>
            <wp:positionH relativeFrom="column">
              <wp:posOffset>5575935</wp:posOffset>
            </wp:positionH>
            <wp:positionV relativeFrom="paragraph">
              <wp:posOffset>-32385</wp:posOffset>
            </wp:positionV>
            <wp:extent cx="1028700" cy="97566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975661"/>
                    </a:xfrm>
                    <a:prstGeom prst="rect">
                      <a:avLst/>
                    </a:prstGeom>
                  </pic:spPr>
                </pic:pic>
              </a:graphicData>
            </a:graphic>
            <wp14:sizeRelH relativeFrom="page">
              <wp14:pctWidth>0</wp14:pctWidth>
            </wp14:sizeRelH>
            <wp14:sizeRelV relativeFrom="page">
              <wp14:pctHeight>0</wp14:pctHeight>
            </wp14:sizeRelV>
          </wp:anchor>
        </w:drawing>
      </w:r>
      <w:r>
        <w:rPr>
          <w:rFonts w:ascii="Ebrima" w:eastAsia="Times New Roman" w:hAnsi="Ebrima" w:cs="Arial" w:hint="cs"/>
          <w:b/>
          <w:bCs/>
          <w:noProof/>
          <w:color w:val="222222"/>
          <w:kern w:val="0"/>
          <w:sz w:val="36"/>
          <w:szCs w:val="36"/>
          <w:rtl/>
          <w:lang w:eastAsia="fr-FR"/>
        </w:rPr>
        <w:drawing>
          <wp:anchor distT="0" distB="0" distL="114300" distR="114300" simplePos="0" relativeHeight="251667456" behindDoc="0" locked="0" layoutInCell="1" allowOverlap="1" wp14:anchorId="1002C493" wp14:editId="139FDEA6">
            <wp:simplePos x="0" y="0"/>
            <wp:positionH relativeFrom="column">
              <wp:posOffset>-443865</wp:posOffset>
            </wp:positionH>
            <wp:positionV relativeFrom="paragraph">
              <wp:posOffset>-37465</wp:posOffset>
            </wp:positionV>
            <wp:extent cx="1085850" cy="1040188"/>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M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40188"/>
                    </a:xfrm>
                    <a:prstGeom prst="rect">
                      <a:avLst/>
                    </a:prstGeom>
                  </pic:spPr>
                </pic:pic>
              </a:graphicData>
            </a:graphic>
            <wp14:sizeRelH relativeFrom="page">
              <wp14:pctWidth>0</wp14:pctWidth>
            </wp14:sizeRelH>
            <wp14:sizeRelV relativeFrom="page">
              <wp14:pctHeight>0</wp14:pctHeight>
            </wp14:sizeRelV>
          </wp:anchor>
        </w:drawing>
      </w:r>
      <w:r w:rsidR="00264D02" w:rsidRPr="00152A17">
        <w:rPr>
          <w:rFonts w:ascii="Ebrima" w:eastAsia="Times New Roman" w:hAnsi="Ebrima" w:cs="Arial" w:hint="cs"/>
          <w:b/>
          <w:bCs/>
          <w:color w:val="222222"/>
          <w:kern w:val="0"/>
          <w:sz w:val="36"/>
          <w:szCs w:val="36"/>
          <w:rtl/>
          <w:lang w:eastAsia="fr-FR" w:bidi="ar-MA"/>
          <w14:ligatures w14:val="none"/>
        </w:rPr>
        <w:t>الاتحاد المغربي للشغل</w:t>
      </w:r>
    </w:p>
    <w:p w14:paraId="54D008D3" w14:textId="2329F308" w:rsidR="00DF5B65" w:rsidRPr="008B3AF6" w:rsidRDefault="006D23D9" w:rsidP="006D23D9">
      <w:pPr>
        <w:shd w:val="clear" w:color="auto" w:fill="FFFFFF"/>
        <w:bidi/>
        <w:spacing w:after="0" w:line="240" w:lineRule="auto"/>
        <w:jc w:val="center"/>
        <w:rPr>
          <w:rFonts w:ascii="Ebrima" w:eastAsia="Times New Roman" w:hAnsi="Ebrima" w:cs="Arial"/>
          <w:color w:val="222222"/>
          <w:kern w:val="0"/>
          <w:sz w:val="28"/>
          <w:szCs w:val="28"/>
          <w:rtl/>
          <w:lang w:eastAsia="fr-FR" w:bidi="ar-MA"/>
          <w14:ligatures w14:val="none"/>
        </w:rPr>
      </w:pPr>
      <w:r>
        <w:rPr>
          <w:rFonts w:ascii="Ebrima" w:eastAsia="Times New Roman" w:hAnsi="Ebrima" w:cs="Arial"/>
          <w:color w:val="222222"/>
          <w:kern w:val="0"/>
          <w:sz w:val="28"/>
          <w:szCs w:val="28"/>
          <w:lang w:eastAsia="fr-FR" w:bidi="ar-MA"/>
          <w14:ligatures w14:val="none"/>
        </w:rPr>
        <w:t>ⴰⵎⵓⵏⵉ ⴰⵎⵖⵔⴰ</w:t>
      </w:r>
      <w:r w:rsidRPr="006D23D9">
        <w:rPr>
          <w:rFonts w:ascii="Ebrima" w:eastAsia="Times New Roman" w:hAnsi="Ebrima" w:cs="Arial"/>
          <w:color w:val="222222"/>
          <w:kern w:val="0"/>
          <w:sz w:val="28"/>
          <w:szCs w:val="28"/>
          <w:lang w:eastAsia="fr-FR" w:bidi="ar-MA"/>
          <w14:ligatures w14:val="none"/>
        </w:rPr>
        <w:t>ⴱ</w:t>
      </w:r>
      <w:r>
        <w:rPr>
          <w:rFonts w:ascii="Ebrima" w:eastAsia="Times New Roman" w:hAnsi="Ebrima" w:cs="Arial"/>
          <w:color w:val="222222"/>
          <w:kern w:val="0"/>
          <w:sz w:val="28"/>
          <w:szCs w:val="28"/>
          <w:lang w:eastAsia="fr-FR" w:bidi="ar-MA"/>
          <w14:ligatures w14:val="none"/>
        </w:rPr>
        <w:t>ⵉ</w:t>
      </w:r>
      <w:r w:rsidR="00DF5B65" w:rsidRPr="008B3AF6">
        <w:rPr>
          <w:rFonts w:ascii="Ebrima" w:eastAsia="Times New Roman" w:hAnsi="Ebrima" w:cs="Arial"/>
          <w:color w:val="222222"/>
          <w:kern w:val="0"/>
          <w:sz w:val="28"/>
          <w:szCs w:val="28"/>
          <w:lang w:eastAsia="fr-FR" w:bidi="ar-MA"/>
          <w14:ligatures w14:val="none"/>
        </w:rPr>
        <w:t xml:space="preserve"> ⵏ ⵜⴰⵡⵔⵉ</w:t>
      </w:r>
    </w:p>
    <w:p w14:paraId="66FDF919" w14:textId="2A0BF36A" w:rsidR="00DF5B65" w:rsidRPr="00152A17" w:rsidRDefault="00DF5B65" w:rsidP="00DF5B65">
      <w:pPr>
        <w:shd w:val="clear" w:color="auto" w:fill="FFFFFF"/>
        <w:bidi/>
        <w:spacing w:after="0" w:line="240" w:lineRule="auto"/>
        <w:jc w:val="center"/>
        <w:rPr>
          <w:rFonts w:ascii="Times New Roman" w:eastAsia="Times New Roman" w:hAnsi="Times New Roman" w:cs="Arial"/>
          <w:b/>
          <w:bCs/>
          <w:color w:val="222222"/>
          <w:kern w:val="0"/>
          <w:sz w:val="36"/>
          <w:szCs w:val="36"/>
          <w:lang w:eastAsia="fr-FR" w:bidi="ar-MA"/>
          <w14:ligatures w14:val="none"/>
        </w:rPr>
      </w:pPr>
      <w:r w:rsidRPr="00152A17">
        <w:rPr>
          <w:rFonts w:ascii="Ebrima" w:eastAsia="Times New Roman" w:hAnsi="Ebrima" w:cs="Arial" w:hint="cs"/>
          <w:b/>
          <w:bCs/>
          <w:color w:val="222222"/>
          <w:kern w:val="0"/>
          <w:sz w:val="36"/>
          <w:szCs w:val="36"/>
          <w:rtl/>
          <w:lang w:eastAsia="fr-FR" w:bidi="ar-MA"/>
          <w14:ligatures w14:val="none"/>
        </w:rPr>
        <w:t>الجامعة الوطنية للقطاع الفلاحي</w:t>
      </w:r>
    </w:p>
    <w:p w14:paraId="79029E0C" w14:textId="48EF5EBD" w:rsidR="00264D02" w:rsidRDefault="00DF5B65" w:rsidP="00DF5B65">
      <w:pPr>
        <w:shd w:val="clear" w:color="auto" w:fill="FFFFFF"/>
        <w:bidi/>
        <w:spacing w:after="0" w:line="240" w:lineRule="auto"/>
        <w:jc w:val="center"/>
        <w:rPr>
          <w:rFonts w:ascii="Ebrima" w:eastAsia="Times New Roman" w:hAnsi="Ebrima" w:cs="Arial"/>
          <w:color w:val="222222"/>
          <w:kern w:val="0"/>
          <w:sz w:val="28"/>
          <w:szCs w:val="28"/>
          <w:rtl/>
          <w:lang w:eastAsia="fr-FR" w:bidi="ar-MA"/>
          <w14:ligatures w14:val="none"/>
        </w:rPr>
      </w:pPr>
      <w:r w:rsidRPr="008B3AF6">
        <w:rPr>
          <w:noProof/>
          <w:kern w:val="0"/>
          <w:sz w:val="28"/>
          <w:szCs w:val="28"/>
          <w:lang w:eastAsia="fr-FR"/>
          <w14:ligatures w14:val="none"/>
        </w:rPr>
        <mc:AlternateContent>
          <mc:Choice Requires="wps">
            <w:drawing>
              <wp:anchor distT="36576" distB="36576" distL="36576" distR="36576" simplePos="0" relativeHeight="251663360" behindDoc="0" locked="0" layoutInCell="1" allowOverlap="1" wp14:anchorId="6F0C63F3" wp14:editId="35BE1226">
                <wp:simplePos x="0" y="0"/>
                <wp:positionH relativeFrom="page">
                  <wp:align>left</wp:align>
                </wp:positionH>
                <wp:positionV relativeFrom="paragraph">
                  <wp:posOffset>254000</wp:posOffset>
                </wp:positionV>
                <wp:extent cx="7515225" cy="66675"/>
                <wp:effectExtent l="0" t="0" r="47625" b="66675"/>
                <wp:wrapNone/>
                <wp:docPr id="3" name="Organigramme : Processu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15225" cy="66675"/>
                        </a:xfrm>
                        <a:prstGeom prst="flowChartProcess">
                          <a:avLst/>
                        </a:prstGeom>
                        <a:solidFill>
                          <a:srgbClr val="3366FF"/>
                        </a:solidFill>
                        <a:ln w="3175">
                          <a:solidFill>
                            <a:srgbClr val="F3F3F3"/>
                          </a:solidFill>
                          <a:miter lim="800000"/>
                          <a:headEnd/>
                          <a:tailEnd/>
                        </a:ln>
                        <a:effectLst>
                          <a:outerShdw dist="28398" dir="3806097" algn="ctr" rotWithShape="0">
                            <a:srgbClr val="000080">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2EBB7" id="_x0000_t109" coordsize="21600,21600" o:spt="109" path="m,l,21600r21600,l21600,xe">
                <v:stroke joinstyle="miter"/>
                <v:path gradientshapeok="t" o:connecttype="rect"/>
              </v:shapetype>
              <v:shape id="Organigramme : Processus 3" o:spid="_x0000_s1026" type="#_x0000_t109" style="position:absolute;margin-left:0;margin-top:20pt;width:591.75pt;height:5.25pt;flip:y;z-index:25166336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" fillcolor="#36f" strokecolor="#f3f3f3" strokeweight=".25pt">
                <v:shadow on="t" color="navy" opacity=".5" offset="1pt"/>
                <v:textbox inset="2.88pt,2.88pt,2.88pt,2.88pt"/>
                <w10:wrap anchorx="page"/>
              </v:shape>
            </w:pict>
          </mc:Fallback>
        </mc:AlternateContent>
      </w:r>
      <w:r w:rsidRPr="008B3AF6">
        <w:rPr>
          <w:rFonts w:ascii="Ebrima" w:eastAsia="Times New Roman" w:hAnsi="Ebrima" w:cs="Arial"/>
          <w:color w:val="222222"/>
          <w:kern w:val="0"/>
          <w:sz w:val="28"/>
          <w:szCs w:val="28"/>
          <w:lang w:eastAsia="fr-FR" w:bidi="ar-MA"/>
          <w14:ligatures w14:val="none"/>
        </w:rPr>
        <w:t>ⵜⴰⵎⵓⵏⵜ ⵜⴰⵏⴰⵎⵓⵔⵜ ⵏ ⴰⴳⵣⵓⵎ ⵏ ⵜⵉⵢⵔⵣⴰ</w:t>
      </w:r>
    </w:p>
    <w:p w14:paraId="2212678E" w14:textId="371B85D5" w:rsidR="004A519C" w:rsidRDefault="004A519C" w:rsidP="004A519C">
      <w:pPr>
        <w:shd w:val="clear" w:color="auto" w:fill="FFFFFF"/>
        <w:bidi/>
        <w:spacing w:after="0" w:line="240" w:lineRule="auto"/>
        <w:jc w:val="center"/>
        <w:rPr>
          <w:rFonts w:ascii="Ebrima" w:eastAsia="Times New Roman" w:hAnsi="Ebrima" w:cs="Arial"/>
          <w:color w:val="222222"/>
          <w:kern w:val="0"/>
          <w:sz w:val="28"/>
          <w:szCs w:val="28"/>
          <w:rtl/>
          <w:lang w:eastAsia="fr-FR" w:bidi="ar-MA"/>
          <w14:ligatures w14:val="none"/>
        </w:rPr>
      </w:pPr>
    </w:p>
    <w:p w14:paraId="35EA0EA7" w14:textId="12D2AC28" w:rsidR="004A519C" w:rsidRDefault="008E2D69" w:rsidP="000D46E0">
      <w:pPr>
        <w:shd w:val="clear" w:color="auto" w:fill="FFFFFF"/>
        <w:bidi/>
        <w:spacing w:after="0" w:line="240" w:lineRule="auto"/>
        <w:jc w:val="center"/>
        <w:rPr>
          <w:rFonts w:ascii="Ebrima" w:eastAsia="Times New Roman" w:hAnsi="Ebrima" w:cs="Arial"/>
          <w:color w:val="222222"/>
          <w:kern w:val="0"/>
          <w:sz w:val="28"/>
          <w:szCs w:val="28"/>
          <w:rtl/>
          <w:lang w:eastAsia="fr-FR" w:bidi="ar-MA"/>
          <w14:ligatures w14:val="none"/>
        </w:rPr>
      </w:pPr>
      <w:r>
        <w:rPr>
          <w:rFonts w:ascii="Ebrima" w:eastAsia="Times New Roman" w:hAnsi="Ebrima" w:cs="Arial" w:hint="cs"/>
          <w:color w:val="222222"/>
          <w:kern w:val="0"/>
          <w:sz w:val="28"/>
          <w:szCs w:val="28"/>
          <w:rtl/>
          <w:lang w:eastAsia="fr-FR" w:bidi="ar-MA"/>
          <w14:ligatures w14:val="none"/>
        </w:rPr>
        <w:t>رقم 69</w:t>
      </w:r>
      <w:r w:rsidR="004A519C">
        <w:rPr>
          <w:rFonts w:ascii="Ebrima" w:eastAsia="Times New Roman" w:hAnsi="Ebrima" w:cs="Arial" w:hint="cs"/>
          <w:color w:val="222222"/>
          <w:kern w:val="0"/>
          <w:sz w:val="28"/>
          <w:szCs w:val="28"/>
          <w:rtl/>
          <w:lang w:eastAsia="fr-FR" w:bidi="ar-MA"/>
          <w14:ligatures w14:val="none"/>
        </w:rPr>
        <w:t xml:space="preserve">/إ.م.ش/ج.و.ق.ف/م.ج                                    </w:t>
      </w:r>
      <w:r w:rsidR="000D46E0">
        <w:rPr>
          <w:rFonts w:ascii="Ebrima" w:eastAsia="Times New Roman" w:hAnsi="Ebrima" w:cs="Arial" w:hint="cs"/>
          <w:color w:val="222222"/>
          <w:kern w:val="0"/>
          <w:sz w:val="28"/>
          <w:szCs w:val="28"/>
          <w:rtl/>
          <w:lang w:eastAsia="fr-FR" w:bidi="ar-MA"/>
          <w14:ligatures w14:val="none"/>
        </w:rPr>
        <w:t xml:space="preserve">                     الرباط في 18</w:t>
      </w:r>
      <w:r w:rsidR="004A519C">
        <w:rPr>
          <w:rFonts w:ascii="Ebrima" w:eastAsia="Times New Roman" w:hAnsi="Ebrima" w:cs="Arial" w:hint="cs"/>
          <w:color w:val="222222"/>
          <w:kern w:val="0"/>
          <w:sz w:val="28"/>
          <w:szCs w:val="28"/>
          <w:rtl/>
          <w:lang w:eastAsia="fr-FR" w:bidi="ar-MA"/>
          <w14:ligatures w14:val="none"/>
        </w:rPr>
        <w:t xml:space="preserve"> أبريل 2025</w:t>
      </w:r>
    </w:p>
    <w:p w14:paraId="19EB772F" w14:textId="77777777" w:rsidR="000D46E0" w:rsidRPr="008B3AF6" w:rsidRDefault="000D46E0" w:rsidP="000D46E0">
      <w:pPr>
        <w:shd w:val="clear" w:color="auto" w:fill="FFFFFF"/>
        <w:bidi/>
        <w:spacing w:after="0" w:line="240" w:lineRule="auto"/>
        <w:jc w:val="center"/>
        <w:rPr>
          <w:rFonts w:ascii="Times New Roman" w:eastAsia="Times New Roman" w:hAnsi="Times New Roman" w:cs="Arial"/>
          <w:color w:val="222222"/>
          <w:kern w:val="0"/>
          <w:sz w:val="28"/>
          <w:szCs w:val="28"/>
          <w:lang w:eastAsia="fr-FR" w:bidi="ar-MA"/>
          <w14:ligatures w14:val="none"/>
        </w:rPr>
      </w:pPr>
    </w:p>
    <w:p w14:paraId="509E4472" w14:textId="37572DC1" w:rsidR="000D46E0" w:rsidRDefault="000D46E0" w:rsidP="000D46E0">
      <w:pPr>
        <w:bidi/>
        <w:jc w:val="center"/>
        <w:rPr>
          <w:b/>
          <w:bCs/>
          <w:sz w:val="32"/>
          <w:szCs w:val="32"/>
          <w:rtl/>
        </w:rPr>
      </w:pPr>
      <w:r>
        <w:rPr>
          <w:rFonts w:eastAsia="Times New Roman" w:hint="cs"/>
          <w:noProof/>
          <w:sz w:val="24"/>
          <w:szCs w:val="24"/>
          <w:lang w:eastAsia="fr-FR"/>
        </w:rPr>
        <mc:AlternateContent>
          <mc:Choice Requires="wps">
            <w:drawing>
              <wp:anchor distT="0" distB="0" distL="114300" distR="114300" simplePos="0" relativeHeight="251658239" behindDoc="1" locked="0" layoutInCell="1" allowOverlap="1" wp14:anchorId="04967B9F" wp14:editId="7C9B4E4B">
                <wp:simplePos x="0" y="0"/>
                <wp:positionH relativeFrom="margin">
                  <wp:align>left</wp:align>
                </wp:positionH>
                <wp:positionV relativeFrom="paragraph">
                  <wp:posOffset>270510</wp:posOffset>
                </wp:positionV>
                <wp:extent cx="6438900" cy="762000"/>
                <wp:effectExtent l="0" t="0" r="19050" b="19050"/>
                <wp:wrapNone/>
                <wp:docPr id="5" name="Organigramme : Alternative 5"/>
                <wp:cNvGraphicFramePr/>
                <a:graphic xmlns:a="http://schemas.openxmlformats.org/drawingml/2006/main">
                  <a:graphicData uri="http://schemas.microsoft.com/office/word/2010/wordprocessingShape">
                    <wps:wsp>
                      <wps:cNvSpPr/>
                      <wps:spPr>
                        <a:xfrm>
                          <a:off x="0" y="0"/>
                          <a:ext cx="6438900" cy="762000"/>
                        </a:xfrm>
                        <a:prstGeom prst="flowChartAlternateProcess">
                          <a:avLst/>
                        </a:prstGeom>
                        <a:ln w="25400" cap="sq">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50CD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6" type="#_x0000_t176" style="position:absolute;margin-left:0;margin-top:21.3pt;width:507pt;height:60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" fillcolor="white [3201]" strokeweight="2pt">
                <v:stroke joinstyle="round" endcap="square"/>
                <w10:wrap anchorx="margin"/>
              </v:shape>
            </w:pict>
          </mc:Fallback>
        </mc:AlternateContent>
      </w:r>
      <w:r>
        <w:rPr>
          <w:b/>
          <w:bCs/>
          <w:sz w:val="32"/>
          <w:szCs w:val="32"/>
          <w:rtl/>
        </w:rPr>
        <w:t>إ</w:t>
      </w:r>
      <w:r>
        <w:rPr>
          <w:rFonts w:hint="cs"/>
          <w:b/>
          <w:bCs/>
          <w:sz w:val="32"/>
          <w:szCs w:val="32"/>
          <w:rtl/>
        </w:rPr>
        <w:t>لى السيد رئيس الحكومة</w:t>
      </w:r>
    </w:p>
    <w:p w14:paraId="746F7BA9" w14:textId="13336FDD" w:rsidR="000D46E0" w:rsidRDefault="000D46E0" w:rsidP="000D46E0">
      <w:pPr>
        <w:bidi/>
        <w:rPr>
          <w:b/>
          <w:bCs/>
          <w:sz w:val="32"/>
          <w:szCs w:val="32"/>
          <w:rtl/>
        </w:rPr>
      </w:pPr>
      <w:r w:rsidRPr="000D46E0">
        <w:rPr>
          <w:rFonts w:hint="cs"/>
          <w:b/>
          <w:bCs/>
          <w:sz w:val="32"/>
          <w:szCs w:val="32"/>
          <w:rtl/>
        </w:rPr>
        <w:t xml:space="preserve"> </w:t>
      </w:r>
      <w:r w:rsidRPr="001B14E5">
        <w:rPr>
          <w:rFonts w:hint="cs"/>
          <w:b/>
          <w:bCs/>
          <w:sz w:val="32"/>
          <w:szCs w:val="32"/>
          <w:rtl/>
        </w:rPr>
        <w:t xml:space="preserve">الموضوع: </w:t>
      </w:r>
      <w:r w:rsidRPr="001B14E5">
        <w:rPr>
          <w:b/>
          <w:bCs/>
          <w:sz w:val="32"/>
          <w:szCs w:val="32"/>
          <w:rtl/>
        </w:rPr>
        <w:t>في شأن تنفيذ الاتفاق حول إنهاء التمييز في الأجور ضد العاملات والعمال الزراعيين بحلول سنة 2028</w:t>
      </w:r>
    </w:p>
    <w:p w14:paraId="4A35D4C1" w14:textId="77777777" w:rsidR="000D46E0" w:rsidRDefault="000D46E0" w:rsidP="000D46E0">
      <w:pPr>
        <w:bidi/>
        <w:ind w:left="-285"/>
        <w:rPr>
          <w:b/>
          <w:bCs/>
          <w:sz w:val="32"/>
          <w:szCs w:val="32"/>
          <w:rtl/>
        </w:rPr>
      </w:pPr>
    </w:p>
    <w:p w14:paraId="35C781D0" w14:textId="57586033" w:rsidR="000D46E0" w:rsidRPr="000D46E0" w:rsidRDefault="000D46E0" w:rsidP="000D46E0">
      <w:pPr>
        <w:shd w:val="clear" w:color="auto" w:fill="FFFFFF"/>
        <w:bidi/>
        <w:spacing w:after="0" w:line="240" w:lineRule="auto"/>
        <w:rPr>
          <w:b/>
          <w:bCs/>
          <w:sz w:val="28"/>
          <w:szCs w:val="28"/>
          <w:rtl/>
        </w:rPr>
      </w:pPr>
      <w:r w:rsidRPr="000D46E0">
        <w:rPr>
          <w:b/>
          <w:bCs/>
          <w:sz w:val="28"/>
          <w:szCs w:val="28"/>
          <w:rtl/>
        </w:rPr>
        <w:t>تحية طيبة وبعد؛</w:t>
      </w:r>
    </w:p>
    <w:p w14:paraId="41CBD3B7" w14:textId="77777777" w:rsidR="000D46E0" w:rsidRPr="000D46E0" w:rsidRDefault="000D46E0" w:rsidP="000D46E0">
      <w:pPr>
        <w:bidi/>
        <w:jc w:val="both"/>
        <w:rPr>
          <w:sz w:val="28"/>
          <w:szCs w:val="28"/>
        </w:rPr>
      </w:pPr>
      <w:r w:rsidRPr="000D46E0">
        <w:rPr>
          <w:sz w:val="28"/>
          <w:szCs w:val="28"/>
          <w:rtl/>
        </w:rPr>
        <w:t xml:space="preserve">كما تعلمون </w:t>
      </w:r>
      <w:r w:rsidRPr="000D46E0">
        <w:rPr>
          <w:rFonts w:hint="cs"/>
          <w:sz w:val="28"/>
          <w:szCs w:val="28"/>
          <w:rtl/>
        </w:rPr>
        <w:t>السيد رئيس الحكومة</w:t>
      </w:r>
      <w:r w:rsidRPr="000D46E0">
        <w:rPr>
          <w:sz w:val="28"/>
          <w:szCs w:val="28"/>
          <w:rtl/>
        </w:rPr>
        <w:t xml:space="preserve">؛ فقد عانى العمال والعاملات الزراعيون في بلادنا ولازالوا يعانون </w:t>
      </w:r>
      <w:r w:rsidRPr="000D46E0">
        <w:rPr>
          <w:sz w:val="28"/>
          <w:szCs w:val="28"/>
          <w:rtl/>
          <w:lang w:bidi="ar-MA"/>
        </w:rPr>
        <w:t xml:space="preserve">صنوفا </w:t>
      </w:r>
      <w:r w:rsidRPr="000D46E0">
        <w:rPr>
          <w:sz w:val="28"/>
          <w:szCs w:val="28"/>
          <w:rtl/>
        </w:rPr>
        <w:t>من التمييز القانوني، تنضاف إلى القهر الاجتماعي والاستغلال المكثف المسلط عليهم في ظروف عمل تنعدم فيها الشروط الدنيا للصحة والسلامة، وتحث التأثير المباشر لأحوال الطقس وما تعرف من قساوة في العديد من المناطق ومن تقلبات في الكثير من الأحيان.</w:t>
      </w:r>
    </w:p>
    <w:p w14:paraId="4385F470" w14:textId="77777777" w:rsidR="000D46E0" w:rsidRPr="000D46E0" w:rsidRDefault="000D46E0" w:rsidP="000D46E0">
      <w:pPr>
        <w:bidi/>
        <w:jc w:val="both"/>
        <w:rPr>
          <w:sz w:val="28"/>
          <w:szCs w:val="28"/>
        </w:rPr>
      </w:pPr>
      <w:r w:rsidRPr="000D46E0">
        <w:rPr>
          <w:sz w:val="28"/>
          <w:szCs w:val="28"/>
          <w:rtl/>
        </w:rPr>
        <w:t xml:space="preserve"> إلا أنه وبفضل الانخراط الواسع للعاملات وللعمال الزراعيين في الجامعة الوطنية للقطاع الفلاحي ودعم نضالاتهم بشكل لا مشروط من طرف قيادة الاتحاد المغربي للشغل، استطاعوا أن ينتزعوا عددا من المكتسبات أهمها الاستفادة من التعويضات العائلية التي تأخر تفعيلها إلى غاية سنة 2008 رغم أن التنصيص عليها قانونيا تم منذ سنة 1982.</w:t>
      </w:r>
    </w:p>
    <w:p w14:paraId="04FF482E" w14:textId="77777777" w:rsidR="000D46E0" w:rsidRPr="000D46E0" w:rsidRDefault="000D46E0" w:rsidP="000D46E0">
      <w:pPr>
        <w:bidi/>
        <w:jc w:val="both"/>
        <w:rPr>
          <w:sz w:val="28"/>
          <w:szCs w:val="28"/>
        </w:rPr>
      </w:pPr>
      <w:r w:rsidRPr="000D46E0">
        <w:rPr>
          <w:sz w:val="28"/>
          <w:szCs w:val="28"/>
          <w:rtl/>
        </w:rPr>
        <w:t>إلى جانب ذلك، شهدت سنة 2009 أول مشاركة للعاملات والعمال الزراعيين في انتخابات مناديب العمال، وهي المشاركة التي تأخرت منذ 29 أكتوبر 1962 تاريخ صدور الظهير المتعلق بتمثيلية المستخدمين داخل المقاولات؛ كما استطاعوا فرض تطبيق قانون الشغل في عدد مهم من الشركات والضيعات الفلاحية بفضل كفاحيتهم وانخراطهم الواسع، نساء ورجالا، في صفوف مركزيتنا.</w:t>
      </w:r>
    </w:p>
    <w:p w14:paraId="5080B7DE" w14:textId="77777777" w:rsidR="000D46E0" w:rsidRPr="000D46E0" w:rsidRDefault="000D46E0" w:rsidP="000D46E0">
      <w:pPr>
        <w:bidi/>
        <w:jc w:val="both"/>
        <w:rPr>
          <w:sz w:val="28"/>
          <w:szCs w:val="28"/>
        </w:rPr>
      </w:pPr>
      <w:r w:rsidRPr="000D46E0">
        <w:rPr>
          <w:sz w:val="28"/>
          <w:szCs w:val="28"/>
          <w:rtl/>
        </w:rPr>
        <w:t xml:space="preserve">ورغم كل ذلك فإنهم لازالوا ضحية الكثير من أوجه التمييز، خاصة التمييز في ساعات العمل، حيث يشتغلون 48 ساعة في الأسبوع عوض 44 ساعة المحددة لنظرائهم في قطاعات الصناعة والتجارة والخدمات؛ إضافة إلى عدم تمتيعهم بالحماية التي يوفرها القرار الوزاري رقم 93ـ08 الصادر عن وزارة الإدماج الاقتصادي والمقاولة الصغرى والشغل والكفاءات بتاريخ 12 ماي 2008 المتعلق تدابير تنزيل مبادئ حفض الصحة والسلامة في أماكن العمل المنصوص عليها في مدونة الشغل. </w:t>
      </w:r>
    </w:p>
    <w:p w14:paraId="751AB176" w14:textId="77777777" w:rsidR="000D46E0" w:rsidRPr="000D46E0" w:rsidRDefault="000D46E0" w:rsidP="000D46E0">
      <w:pPr>
        <w:bidi/>
        <w:jc w:val="both"/>
        <w:rPr>
          <w:sz w:val="28"/>
          <w:szCs w:val="28"/>
          <w:rtl/>
        </w:rPr>
      </w:pPr>
      <w:r w:rsidRPr="000D46E0">
        <w:rPr>
          <w:sz w:val="28"/>
          <w:szCs w:val="28"/>
          <w:rtl/>
        </w:rPr>
        <w:t>غير أن التمييز في الأجور يعد أخطر أشكال التمييز والقهر الاجتماعي التي تعاني منها هذه الشريحة من الطبقة العاملة، وهو التمييز الذي ظل موضوع تنديد وفضح من طرف مركزيتنا واحتجاجات جامعتنا على امتداد العقود الثلاثة الأخيرة على الأقل؛ مما أدى إلى ظهور بوادر إلغائه إثر اتفاق 26 أبريل 2011</w:t>
      </w:r>
      <w:r w:rsidRPr="000D46E0">
        <w:rPr>
          <w:rFonts w:hint="cs"/>
          <w:sz w:val="28"/>
          <w:szCs w:val="28"/>
          <w:rtl/>
        </w:rPr>
        <w:t>، تم بعد ذلك إثر اتفاق 30 أبريل 2022 الذي يعرف هو الآخر تأخرا في أجرأة مقتضياته بشكل سليم، وهو ما يثير لدينا ولدى عموم العاملات والعمال الزراعيين العديد من الشكوك والتخوفات.</w:t>
      </w:r>
    </w:p>
    <w:p w14:paraId="1C16F8B3" w14:textId="77777777" w:rsidR="000D46E0" w:rsidRPr="000D46E0" w:rsidRDefault="000D46E0" w:rsidP="000D46E0">
      <w:pPr>
        <w:bidi/>
        <w:jc w:val="both"/>
        <w:rPr>
          <w:sz w:val="28"/>
          <w:szCs w:val="28"/>
          <w:rtl/>
        </w:rPr>
      </w:pPr>
      <w:r w:rsidRPr="000D46E0">
        <w:rPr>
          <w:sz w:val="28"/>
          <w:szCs w:val="28"/>
          <w:rtl/>
        </w:rPr>
        <w:t>لذا نتقدم إليكم، بهذه المذكرة</w:t>
      </w:r>
      <w:r w:rsidRPr="000D46E0">
        <w:rPr>
          <w:rFonts w:hint="cs"/>
          <w:sz w:val="28"/>
          <w:szCs w:val="28"/>
          <w:rtl/>
        </w:rPr>
        <w:t xml:space="preserve"> التي تبين مرة أخرى</w:t>
      </w:r>
      <w:r w:rsidRPr="000D46E0">
        <w:rPr>
          <w:sz w:val="28"/>
          <w:szCs w:val="28"/>
          <w:rtl/>
        </w:rPr>
        <w:t xml:space="preserve"> دواعي تشبثنا بإلغاء هذا "الأبرتايد الاجتماعي"، وتخليص ضحاياه من عار التمييز الذي يفاقم الاستغلال المكثف والبشع الذي يطال هذه الشريحة من الأجراء في بلادنا؛ </w:t>
      </w:r>
    </w:p>
    <w:p w14:paraId="384FB62E" w14:textId="6C9A1218" w:rsidR="000D46E0" w:rsidRDefault="000D46E0" w:rsidP="000D46E0">
      <w:pPr>
        <w:bidi/>
        <w:jc w:val="both"/>
        <w:rPr>
          <w:sz w:val="28"/>
          <w:szCs w:val="28"/>
          <w:rtl/>
        </w:rPr>
      </w:pPr>
      <w:r w:rsidRPr="000D46E0">
        <w:rPr>
          <w:sz w:val="28"/>
          <w:szCs w:val="28"/>
          <w:rtl/>
        </w:rPr>
        <w:t>وأما الدواعي فنوردها كما يلي:</w:t>
      </w:r>
    </w:p>
    <w:p w14:paraId="6DB52012" w14:textId="77777777" w:rsidR="000D46E0" w:rsidRPr="000D46E0" w:rsidRDefault="000D46E0" w:rsidP="000D46E0">
      <w:pPr>
        <w:bidi/>
        <w:jc w:val="both"/>
        <w:rPr>
          <w:sz w:val="28"/>
          <w:szCs w:val="28"/>
        </w:rPr>
      </w:pPr>
    </w:p>
    <w:p w14:paraId="650CE3AB" w14:textId="77777777" w:rsidR="000D46E0" w:rsidRPr="000D46E0" w:rsidRDefault="000D46E0" w:rsidP="000D46E0">
      <w:pPr>
        <w:pStyle w:val="Paragraphedeliste"/>
        <w:numPr>
          <w:ilvl w:val="0"/>
          <w:numId w:val="7"/>
        </w:numPr>
        <w:bidi/>
        <w:spacing w:line="276" w:lineRule="auto"/>
        <w:jc w:val="both"/>
        <w:rPr>
          <w:sz w:val="28"/>
          <w:szCs w:val="28"/>
        </w:rPr>
      </w:pPr>
      <w:r w:rsidRPr="000D46E0">
        <w:rPr>
          <w:b/>
          <w:bCs/>
          <w:sz w:val="28"/>
          <w:szCs w:val="28"/>
          <w:u w:val="single"/>
          <w:rtl/>
        </w:rPr>
        <w:t>الأوضاع الاجتماعية المزرية للعاملات والعمال الزراعيين</w:t>
      </w:r>
      <w:r w:rsidRPr="000D46E0">
        <w:rPr>
          <w:b/>
          <w:bCs/>
          <w:sz w:val="28"/>
          <w:szCs w:val="28"/>
          <w:rtl/>
        </w:rPr>
        <w:t>:</w:t>
      </w:r>
      <w:r w:rsidRPr="000D46E0">
        <w:rPr>
          <w:b/>
          <w:bCs/>
          <w:sz w:val="28"/>
          <w:szCs w:val="28"/>
          <w:u w:val="single"/>
          <w:rtl/>
        </w:rPr>
        <w:t xml:space="preserve"> </w:t>
      </w:r>
    </w:p>
    <w:p w14:paraId="3A86F29C" w14:textId="77777777" w:rsidR="000D46E0" w:rsidRPr="000D46E0" w:rsidRDefault="000D46E0" w:rsidP="000D46E0">
      <w:pPr>
        <w:bidi/>
        <w:jc w:val="both"/>
        <w:rPr>
          <w:sz w:val="28"/>
          <w:szCs w:val="28"/>
        </w:rPr>
      </w:pPr>
      <w:r w:rsidRPr="000D46E0">
        <w:rPr>
          <w:sz w:val="28"/>
          <w:szCs w:val="28"/>
          <w:rtl/>
        </w:rPr>
        <w:t>لا يخفى عليكم أن عدد العاملات والعمال الزراعيين في بلادنا يناهز المليون، ويتواجدون بتركيز أكثر في المدارات السقوية والمناطق الفلاحية البورية التي تستقبل معدلا مهما من التساقطات المطرية سنويا.</w:t>
      </w:r>
    </w:p>
    <w:p w14:paraId="66161C31" w14:textId="77777777" w:rsidR="000D46E0" w:rsidRPr="000D46E0" w:rsidRDefault="000D46E0" w:rsidP="000D46E0">
      <w:pPr>
        <w:bidi/>
        <w:jc w:val="both"/>
        <w:rPr>
          <w:sz w:val="28"/>
          <w:szCs w:val="28"/>
        </w:rPr>
      </w:pPr>
      <w:r w:rsidRPr="000D46E0">
        <w:rPr>
          <w:sz w:val="28"/>
          <w:szCs w:val="28"/>
          <w:rtl/>
        </w:rPr>
        <w:t>أما أوضاعهم الاجتماعية فتكشف عنها بوضوح قيمة معاشاتهم وقيمة الحد الأدنى للأجور في الفلاحة ووضعياتهم لدى</w:t>
      </w:r>
      <w:r w:rsidRPr="000D46E0">
        <w:rPr>
          <w:color w:val="00B0F0"/>
          <w:sz w:val="28"/>
          <w:szCs w:val="28"/>
          <w:rtl/>
        </w:rPr>
        <w:t xml:space="preserve"> </w:t>
      </w:r>
      <w:r w:rsidRPr="000D46E0">
        <w:rPr>
          <w:sz w:val="28"/>
          <w:szCs w:val="28"/>
          <w:rtl/>
        </w:rPr>
        <w:t xml:space="preserve">الصندوق الوطني للضمان الاجتماعي </w:t>
      </w:r>
      <w:r w:rsidRPr="000D46E0">
        <w:rPr>
          <w:sz w:val="28"/>
          <w:szCs w:val="28"/>
        </w:rPr>
        <w:t>(CNSS)</w:t>
      </w:r>
      <w:r w:rsidRPr="000D46E0">
        <w:rPr>
          <w:sz w:val="28"/>
          <w:szCs w:val="28"/>
          <w:rtl/>
        </w:rPr>
        <w:t>، وأثر ذلك على معيشهم اليومي وعلى أوضاع أسرهم.</w:t>
      </w:r>
    </w:p>
    <w:p w14:paraId="7944759D" w14:textId="77777777" w:rsidR="000D46E0" w:rsidRPr="000D46E0" w:rsidRDefault="000D46E0" w:rsidP="000D46E0">
      <w:pPr>
        <w:bidi/>
        <w:jc w:val="both"/>
        <w:rPr>
          <w:sz w:val="28"/>
          <w:szCs w:val="28"/>
        </w:rPr>
      </w:pPr>
      <w:r w:rsidRPr="000D46E0">
        <w:rPr>
          <w:sz w:val="28"/>
          <w:szCs w:val="28"/>
          <w:rtl/>
        </w:rPr>
        <w:t>ولمقاربة هذا الموضوع بتجرد نفترض أن عاملا زراعيا يعمل بشكل قار</w:t>
      </w:r>
      <w:r w:rsidRPr="000D46E0">
        <w:rPr>
          <w:sz w:val="28"/>
          <w:szCs w:val="28"/>
          <w:rtl/>
          <w:lang w:bidi="ar-MA"/>
        </w:rPr>
        <w:t>،</w:t>
      </w:r>
      <w:r w:rsidRPr="000D46E0">
        <w:rPr>
          <w:sz w:val="28"/>
          <w:szCs w:val="28"/>
          <w:rtl/>
        </w:rPr>
        <w:t xml:space="preserve"> أي طيلة السنة (312 يوم في السنة)، ويتقاضى الحد الأدنى للأجور الفلاحي اليومي الصافي الذي يعادل 82,44 درهم يوميا (الخام: 88,58 درهم) ويعيل من خلاله أسرة تتكون من خمسة أفراد (معدل عدد الأفراد في الأسر المغربية هو 4,6)، فإن الدخل الفردي اليومي لكل واحد منهم لن يتعدى 16,48 درهم أي 1,69 دولار، وهو دخل أدنى بكثير من الدخل اليومي الذي تعتمده الأمم المتحدة كمرجع في تعريف الأشخاص الذين يوجدون دون عتبة الفقر أي 2,5  دولار كدخل يومي.</w:t>
      </w:r>
    </w:p>
    <w:p w14:paraId="526104DD" w14:textId="77777777" w:rsidR="000D46E0" w:rsidRPr="000D46E0" w:rsidRDefault="000D46E0" w:rsidP="000D46E0">
      <w:pPr>
        <w:bidi/>
        <w:jc w:val="both"/>
        <w:rPr>
          <w:sz w:val="28"/>
          <w:szCs w:val="28"/>
        </w:rPr>
      </w:pPr>
      <w:r w:rsidRPr="000D46E0">
        <w:rPr>
          <w:sz w:val="28"/>
          <w:szCs w:val="28"/>
          <w:rtl/>
        </w:rPr>
        <w:t>بناء عليه، فإننا أمام وضعية لمئات الآلاف من الأسر والملايين من ساكنة العالم القروي تكابد الفقر والهشاشة، دون أن تشفع لها تضحيات معيليها من العمال والعاملات الزراعيين الذين يعملون في شروط قاسية وخطيرة، في أغلب الأحيان، لتوفير الغداء للمغاربة والأرباح للباطرونا الزراعية والقيمة المضافة للدولة، ويساهمون في حماية ما تبقى من السيادة الغذائية لبلادنا.</w:t>
      </w:r>
    </w:p>
    <w:p w14:paraId="6F0483CD" w14:textId="77777777" w:rsidR="000D46E0" w:rsidRPr="000D46E0" w:rsidRDefault="000D46E0" w:rsidP="000D46E0">
      <w:pPr>
        <w:bidi/>
        <w:jc w:val="both"/>
        <w:rPr>
          <w:sz w:val="28"/>
          <w:szCs w:val="28"/>
        </w:rPr>
      </w:pPr>
      <w:r w:rsidRPr="000D46E0">
        <w:rPr>
          <w:sz w:val="28"/>
          <w:szCs w:val="28"/>
          <w:rtl/>
        </w:rPr>
        <w:t xml:space="preserve">ومن نافل القول </w:t>
      </w:r>
      <w:r w:rsidRPr="000D46E0">
        <w:rPr>
          <w:sz w:val="28"/>
          <w:szCs w:val="28"/>
          <w:rtl/>
          <w:lang w:bidi="ar-MA"/>
        </w:rPr>
        <w:t>أ</w:t>
      </w:r>
      <w:r w:rsidRPr="000D46E0">
        <w:rPr>
          <w:sz w:val="28"/>
          <w:szCs w:val="28"/>
          <w:rtl/>
        </w:rPr>
        <w:t>ن نذكر هنا، بأن هزالة الحد الأدنى للأجور واستفحال التشغيل المؤقت وتهرب الباطرونا من التصريح بالعمال الزراعيين لدى الصندوق الوطني للضمان الاجتماعي، إنما هو تكريس لحرمان مئات الآلاف من العاملات والعمال الزراعيين من الحماية الاجتماعية، ونخص بالذكر التغطية الصحية والتقاعد الذي يوفر معاشا لا يتعدى في المعدل 896 درهم شهريا، بالنسبة للعدد القليل من العاملات والعمال الزراعيين الذين يستفيدون من معاش التقاعد.</w:t>
      </w:r>
    </w:p>
    <w:p w14:paraId="1B41306F" w14:textId="77777777" w:rsidR="000D46E0" w:rsidRPr="000D46E0" w:rsidRDefault="000D46E0" w:rsidP="000D46E0">
      <w:pPr>
        <w:pStyle w:val="Paragraphedeliste"/>
        <w:numPr>
          <w:ilvl w:val="0"/>
          <w:numId w:val="7"/>
        </w:numPr>
        <w:bidi/>
        <w:spacing w:line="276" w:lineRule="auto"/>
        <w:jc w:val="both"/>
        <w:rPr>
          <w:sz w:val="28"/>
          <w:szCs w:val="28"/>
          <w:rtl/>
        </w:rPr>
      </w:pPr>
      <w:r w:rsidRPr="000D46E0">
        <w:rPr>
          <w:b/>
          <w:bCs/>
          <w:sz w:val="28"/>
          <w:szCs w:val="28"/>
          <w:u w:val="single"/>
          <w:rtl/>
        </w:rPr>
        <w:t>الالتزامات المتضمنة في البرنامج الحكومي والسياسة القطاعية (الجيل الأخضر)</w:t>
      </w:r>
    </w:p>
    <w:p w14:paraId="2EEBC799" w14:textId="77777777" w:rsidR="000D46E0" w:rsidRPr="000D46E0" w:rsidRDefault="000D46E0" w:rsidP="000D46E0">
      <w:pPr>
        <w:bidi/>
        <w:jc w:val="both"/>
        <w:rPr>
          <w:sz w:val="28"/>
          <w:szCs w:val="28"/>
        </w:rPr>
      </w:pPr>
      <w:r w:rsidRPr="000D46E0">
        <w:rPr>
          <w:rFonts w:hint="cs"/>
          <w:sz w:val="28"/>
          <w:szCs w:val="28"/>
          <w:rtl/>
        </w:rPr>
        <w:t xml:space="preserve">لقد سبق للحكومة أن أعلنت كون </w:t>
      </w:r>
      <w:r w:rsidRPr="000D46E0">
        <w:rPr>
          <w:sz w:val="28"/>
          <w:szCs w:val="28"/>
          <w:rtl/>
        </w:rPr>
        <w:t xml:space="preserve">برنامجها يستند على خمسة مبادئ منها "جعل كرامة المواطن أساس السياسات العمومية، من خلال التقليص من حدة الفوارق المجالية والاجتماعية </w:t>
      </w:r>
      <w:r w:rsidRPr="000D46E0">
        <w:rPr>
          <w:b/>
          <w:bCs/>
          <w:sz w:val="28"/>
          <w:szCs w:val="28"/>
          <w:rtl/>
        </w:rPr>
        <w:t>وتحقيق المساواة بين المواطنين...</w:t>
      </w:r>
      <w:r w:rsidRPr="000D46E0">
        <w:rPr>
          <w:sz w:val="28"/>
          <w:szCs w:val="28"/>
          <w:rtl/>
        </w:rPr>
        <w:t>"</w:t>
      </w:r>
    </w:p>
    <w:p w14:paraId="2655180B" w14:textId="77777777" w:rsidR="000D46E0" w:rsidRPr="000D46E0" w:rsidRDefault="000D46E0" w:rsidP="000D46E0">
      <w:pPr>
        <w:bidi/>
        <w:jc w:val="both"/>
        <w:rPr>
          <w:sz w:val="28"/>
          <w:szCs w:val="28"/>
        </w:rPr>
      </w:pPr>
      <w:r w:rsidRPr="000D46E0">
        <w:rPr>
          <w:sz w:val="28"/>
          <w:szCs w:val="28"/>
          <w:rtl/>
        </w:rPr>
        <w:t xml:space="preserve">كما نعرض الالتزام الخامس ضمن الالتزامات العشرة المتضمنة في البرنامج الحكومي المتمثل في </w:t>
      </w:r>
      <w:r w:rsidRPr="000D46E0">
        <w:rPr>
          <w:b/>
          <w:bCs/>
          <w:sz w:val="28"/>
          <w:szCs w:val="28"/>
          <w:rtl/>
        </w:rPr>
        <w:t>"اخراج مليون أسرة مغربية من الفقر والهشاشة"</w:t>
      </w:r>
      <w:r w:rsidRPr="000D46E0">
        <w:rPr>
          <w:sz w:val="28"/>
          <w:szCs w:val="28"/>
          <w:rtl/>
        </w:rPr>
        <w:t xml:space="preserve">، والتزام وزير الفلاحة الصريح في مخطط الجيل الأخضر بالنهوض بأوضاع العنصر البشري في البادية عبر عدد من الاجراءات أهمها رفع نسبة التشغيل والغاء الفارق بين الحد الادنى للأجور في الفلاحة وفي باقي القطاعات.  </w:t>
      </w:r>
    </w:p>
    <w:p w14:paraId="29882135" w14:textId="77777777" w:rsidR="000D46E0" w:rsidRPr="000D46E0" w:rsidRDefault="000D46E0" w:rsidP="000D46E0">
      <w:pPr>
        <w:bidi/>
        <w:jc w:val="both"/>
        <w:rPr>
          <w:b/>
          <w:bCs/>
          <w:sz w:val="28"/>
          <w:szCs w:val="28"/>
        </w:rPr>
      </w:pPr>
      <w:r w:rsidRPr="000D46E0">
        <w:rPr>
          <w:b/>
          <w:bCs/>
          <w:sz w:val="28"/>
          <w:szCs w:val="28"/>
          <w:rtl/>
        </w:rPr>
        <w:t>لذا ونحن على مشارف نهاية الولاية الحكومية، يحق لنا أن نطالب بتسريع تنزيل هذه الالتزامات تجاه الشغيلة القروية والعاملات والعمال الزراعيين على وجه التحديد.</w:t>
      </w:r>
    </w:p>
    <w:p w14:paraId="666EC578" w14:textId="77777777" w:rsidR="000D46E0" w:rsidRPr="000D46E0" w:rsidRDefault="000D46E0" w:rsidP="000D46E0">
      <w:pPr>
        <w:pStyle w:val="Paragraphedeliste"/>
        <w:numPr>
          <w:ilvl w:val="0"/>
          <w:numId w:val="7"/>
        </w:numPr>
        <w:bidi/>
        <w:spacing w:line="276" w:lineRule="auto"/>
        <w:jc w:val="both"/>
        <w:rPr>
          <w:b/>
          <w:bCs/>
          <w:sz w:val="28"/>
          <w:szCs w:val="28"/>
          <w:rtl/>
        </w:rPr>
      </w:pPr>
      <w:r w:rsidRPr="000D46E0">
        <w:rPr>
          <w:b/>
          <w:bCs/>
          <w:sz w:val="28"/>
          <w:szCs w:val="28"/>
          <w:u w:val="single"/>
          <w:rtl/>
        </w:rPr>
        <w:t>الوضع الاقتصادي للمقاولة الزراعية</w:t>
      </w:r>
      <w:r w:rsidRPr="000D46E0">
        <w:rPr>
          <w:sz w:val="28"/>
          <w:szCs w:val="28"/>
          <w:rtl/>
        </w:rPr>
        <w:t>.</w:t>
      </w:r>
    </w:p>
    <w:p w14:paraId="429A76EB" w14:textId="77777777" w:rsidR="000D46E0" w:rsidRPr="000D46E0" w:rsidRDefault="000D46E0" w:rsidP="000D46E0">
      <w:pPr>
        <w:bidi/>
        <w:jc w:val="both"/>
        <w:rPr>
          <w:sz w:val="28"/>
          <w:szCs w:val="28"/>
          <w:lang w:val="fr-MA"/>
        </w:rPr>
      </w:pPr>
      <w:r w:rsidRPr="000D46E0">
        <w:rPr>
          <w:sz w:val="28"/>
          <w:szCs w:val="28"/>
          <w:rtl/>
        </w:rPr>
        <w:t>منذ أزيد من عشرين سنة والباطرونا الزراعية تناور لتفادي إلغاء الفارق بين الحد الأدنى للأجور ونظيره في باقي القطاعات، كاستحقاق اجتماعي والتزام نشأ وتم تأكيده في جولات الحوار الاجتماعي الثلاثي الأطراف، وفي هذا الصدد تتعدد ذرائع الباطرونا مع التركيز المتواصل والمفضوح على ادعاء أزمة المقاولة الفلاحية، بسبب غلاء المدخلات والبذور والكلفة الطاقية وندرة المياه بسبب توالي سنوات الجفاف، وصعوبات التسويق... </w:t>
      </w:r>
      <w:r w:rsidRPr="000D46E0">
        <w:rPr>
          <w:sz w:val="28"/>
          <w:szCs w:val="28"/>
          <w:lang w:val="fr-MA"/>
        </w:rPr>
        <w:t>!!!</w:t>
      </w:r>
    </w:p>
    <w:p w14:paraId="3AD0E58C" w14:textId="77777777" w:rsidR="000D46E0" w:rsidRPr="000D46E0" w:rsidRDefault="000D46E0" w:rsidP="000D46E0">
      <w:pPr>
        <w:bidi/>
        <w:jc w:val="both"/>
        <w:rPr>
          <w:sz w:val="28"/>
          <w:szCs w:val="28"/>
        </w:rPr>
      </w:pPr>
      <w:r w:rsidRPr="000D46E0">
        <w:rPr>
          <w:sz w:val="28"/>
          <w:szCs w:val="28"/>
          <w:rtl/>
        </w:rPr>
        <w:t xml:space="preserve">إلا أن المعطيات التي توفرها التقارير الرسمية نفسها، تفضح زيف خطاب الأزمة الذي تروج له الباطرونا الزراعية. </w:t>
      </w:r>
    </w:p>
    <w:p w14:paraId="7B02ECF8" w14:textId="77777777" w:rsidR="000D46E0" w:rsidRPr="000D46E0" w:rsidRDefault="000D46E0" w:rsidP="000D46E0">
      <w:pPr>
        <w:bidi/>
        <w:jc w:val="both"/>
        <w:rPr>
          <w:b/>
          <w:bCs/>
          <w:sz w:val="28"/>
          <w:szCs w:val="28"/>
        </w:rPr>
      </w:pPr>
      <w:r w:rsidRPr="000D46E0">
        <w:rPr>
          <w:b/>
          <w:bCs/>
          <w:sz w:val="28"/>
          <w:szCs w:val="28"/>
          <w:rtl/>
        </w:rPr>
        <w:t>فخلال العشر سنوات الأخيرة والتي تخللتها ست سنوات جافة متتالية:</w:t>
      </w:r>
    </w:p>
    <w:p w14:paraId="3A49E061" w14:textId="77777777" w:rsidR="000D46E0" w:rsidRPr="000D46E0" w:rsidRDefault="000D46E0" w:rsidP="000D46E0">
      <w:pPr>
        <w:bidi/>
        <w:jc w:val="both"/>
        <w:rPr>
          <w:sz w:val="28"/>
          <w:szCs w:val="28"/>
        </w:rPr>
      </w:pPr>
      <w:r w:rsidRPr="000D46E0">
        <w:rPr>
          <w:sz w:val="28"/>
          <w:szCs w:val="28"/>
          <w:rtl/>
        </w:rPr>
        <w:t>ـ انتقلت القيمة المضافة للفلاحة في المغرب من 80</w:t>
      </w:r>
      <w:r w:rsidRPr="000D46E0">
        <w:rPr>
          <w:rFonts w:hint="cs"/>
          <w:sz w:val="28"/>
          <w:szCs w:val="28"/>
        </w:rPr>
        <w:t xml:space="preserve"> </w:t>
      </w:r>
      <w:r w:rsidRPr="000D46E0">
        <w:rPr>
          <w:sz w:val="28"/>
          <w:szCs w:val="28"/>
          <w:rtl/>
        </w:rPr>
        <w:t xml:space="preserve">مليار درهم </w:t>
      </w:r>
      <w:r w:rsidRPr="000D46E0">
        <w:rPr>
          <w:sz w:val="28"/>
          <w:szCs w:val="28"/>
          <w:rtl/>
          <w:lang w:bidi="ar-MA"/>
        </w:rPr>
        <w:t>إ</w:t>
      </w:r>
      <w:r w:rsidRPr="000D46E0">
        <w:rPr>
          <w:sz w:val="28"/>
          <w:szCs w:val="28"/>
          <w:rtl/>
        </w:rPr>
        <w:t>لى 120 مليار درهم سنويا؛</w:t>
      </w:r>
    </w:p>
    <w:p w14:paraId="3F31AD80" w14:textId="77777777" w:rsidR="000D46E0" w:rsidRPr="000D46E0" w:rsidRDefault="000D46E0" w:rsidP="000D46E0">
      <w:pPr>
        <w:bidi/>
        <w:jc w:val="both"/>
        <w:rPr>
          <w:sz w:val="28"/>
          <w:szCs w:val="28"/>
        </w:rPr>
      </w:pPr>
      <w:r w:rsidRPr="000D46E0">
        <w:rPr>
          <w:sz w:val="28"/>
          <w:szCs w:val="28"/>
          <w:rtl/>
        </w:rPr>
        <w:t>ـ حققت الباطرونا الزراعية أرباحا خيالية يعكسها تربعها على رأس قائمة مصدري الفواكه والخضر لأروبا بلا منازع، بحجم صادرات سنوي بلغ 2,3 مليون طن سنة 2022 وبزيادة 10% مقارنة مع سنة 2021؛</w:t>
      </w:r>
    </w:p>
    <w:p w14:paraId="6FD9CD2E" w14:textId="77777777" w:rsidR="000D46E0" w:rsidRPr="000D46E0" w:rsidRDefault="000D46E0" w:rsidP="000D46E0">
      <w:pPr>
        <w:bidi/>
        <w:jc w:val="both"/>
        <w:rPr>
          <w:sz w:val="28"/>
          <w:szCs w:val="28"/>
        </w:rPr>
      </w:pPr>
      <w:r w:rsidRPr="000D46E0">
        <w:rPr>
          <w:sz w:val="28"/>
          <w:szCs w:val="28"/>
          <w:rtl/>
        </w:rPr>
        <w:t>ـ صادرات الباطرونا الزراعية إلى ألمانيا ارتفعت بنسبة 40%؛</w:t>
      </w:r>
    </w:p>
    <w:p w14:paraId="11A15B12" w14:textId="77777777" w:rsidR="000D46E0" w:rsidRPr="000D46E0" w:rsidRDefault="000D46E0" w:rsidP="000D46E0">
      <w:pPr>
        <w:bidi/>
        <w:jc w:val="both"/>
        <w:rPr>
          <w:sz w:val="28"/>
          <w:szCs w:val="28"/>
        </w:rPr>
      </w:pPr>
      <w:r w:rsidRPr="000D46E0">
        <w:rPr>
          <w:sz w:val="28"/>
          <w:szCs w:val="28"/>
          <w:rtl/>
        </w:rPr>
        <w:t>- الباطرونا الزراعية أضحت ثالثة عالميا في سلم ترتيب المنتجين والمصدرين للطماطم، حيث ارتفع انتاجها السنوي خلال هذه الفترة بنسبة 125%؛</w:t>
      </w:r>
    </w:p>
    <w:p w14:paraId="762F70AA" w14:textId="77777777" w:rsidR="000D46E0" w:rsidRPr="000D46E0" w:rsidRDefault="000D46E0" w:rsidP="000D46E0">
      <w:pPr>
        <w:bidi/>
        <w:jc w:val="both"/>
        <w:rPr>
          <w:sz w:val="28"/>
          <w:szCs w:val="28"/>
        </w:rPr>
      </w:pPr>
      <w:r w:rsidRPr="000D46E0">
        <w:rPr>
          <w:sz w:val="28"/>
          <w:szCs w:val="28"/>
        </w:rPr>
        <w:t>-</w:t>
      </w:r>
      <w:r w:rsidRPr="000D46E0">
        <w:rPr>
          <w:sz w:val="28"/>
          <w:szCs w:val="28"/>
          <w:rtl/>
        </w:rPr>
        <w:t xml:space="preserve"> </w:t>
      </w:r>
      <w:r w:rsidRPr="000D46E0">
        <w:rPr>
          <w:rFonts w:hint="cs"/>
          <w:sz w:val="28"/>
          <w:szCs w:val="28"/>
          <w:rtl/>
        </w:rPr>
        <w:t>ولازالت تحتل الرتبة الرابعة عالميا من بين مصدري الفواكه الحمراء؛</w:t>
      </w:r>
    </w:p>
    <w:p w14:paraId="150233A1" w14:textId="77777777" w:rsidR="000D46E0" w:rsidRPr="000D46E0" w:rsidRDefault="000D46E0" w:rsidP="000D46E0">
      <w:pPr>
        <w:bidi/>
        <w:jc w:val="both"/>
        <w:rPr>
          <w:sz w:val="28"/>
          <w:szCs w:val="28"/>
        </w:rPr>
      </w:pPr>
      <w:r w:rsidRPr="000D46E0">
        <w:rPr>
          <w:sz w:val="28"/>
          <w:szCs w:val="28"/>
          <w:rtl/>
        </w:rPr>
        <w:t xml:space="preserve">ـ كما سجلت صادرات الباطرونا الزراعية من زيت الزيتون سنة 2022 زيادة بنسبة 85% من حيث الحجم، في حين ارتفعت قيمتها المالية بنسبة 45%؛ </w:t>
      </w:r>
    </w:p>
    <w:p w14:paraId="1083635C" w14:textId="77777777" w:rsidR="000D46E0" w:rsidRPr="000D46E0" w:rsidRDefault="000D46E0" w:rsidP="000D46E0">
      <w:pPr>
        <w:bidi/>
        <w:jc w:val="both"/>
        <w:rPr>
          <w:sz w:val="28"/>
          <w:szCs w:val="28"/>
        </w:rPr>
      </w:pPr>
      <w:r w:rsidRPr="000D46E0">
        <w:rPr>
          <w:sz w:val="28"/>
          <w:szCs w:val="28"/>
          <w:rtl/>
        </w:rPr>
        <w:t>وللإشارة فقط، فنسبة مهمة جدا من عائدات الباطرونا الزراعية مصدرها الدعم والإعانات العمومية المباشرة، حيث بلغت قيمتهما 80 مليار درهم منذ 2008 وغير المباشرة من خلال الاستثمار العمومي في البنيات التحتية، 45 مليار درهم في نفس الفترة، وتحمل الدول لدعم الكلفة الطاقية وتعبئة مياه الري؛ ناهيك عن الاعفاءات الضريبية والتهرب الضريبي وما تجنيه الباطرونا الزراعية من أموال بسبب إخلالها بالمسؤولية الاجتماعية والبيئية للمقاولة.</w:t>
      </w:r>
    </w:p>
    <w:p w14:paraId="1B8778EC" w14:textId="77777777" w:rsidR="000D46E0" w:rsidRPr="000D46E0" w:rsidRDefault="000D46E0" w:rsidP="000D46E0">
      <w:pPr>
        <w:bidi/>
        <w:jc w:val="both"/>
        <w:rPr>
          <w:sz w:val="28"/>
          <w:szCs w:val="28"/>
          <w:lang w:bidi="ar-MA"/>
        </w:rPr>
      </w:pPr>
      <w:r w:rsidRPr="000D46E0">
        <w:rPr>
          <w:sz w:val="28"/>
          <w:szCs w:val="28"/>
          <w:rtl/>
        </w:rPr>
        <w:t>وكمؤشر على صحة المقاولة الفلاحية وتنامي أرباح الباطرونا الزراعية نشير لاستعداد هذه الأخيرة، بل شروعها، في استعمال مياه البحر المحلاة بسعر يناهز</w:t>
      </w:r>
      <w:r w:rsidRPr="000D46E0">
        <w:rPr>
          <w:rFonts w:ascii="Arial" w:hAnsi="Arial" w:cs="Arial"/>
          <w:sz w:val="28"/>
          <w:szCs w:val="28"/>
          <w:shd w:val="clear" w:color="auto" w:fill="FFFFFF"/>
        </w:rPr>
        <w:t>5.50</w:t>
      </w:r>
      <w:r w:rsidRPr="000D46E0">
        <w:rPr>
          <w:rFonts w:ascii="Arial" w:hAnsi="Arial" w:cs="Arial"/>
          <w:sz w:val="28"/>
          <w:szCs w:val="28"/>
          <w:shd w:val="clear" w:color="auto" w:fill="FFFFFF"/>
          <w:rtl/>
          <w:lang w:bidi="ar-MA"/>
        </w:rPr>
        <w:t xml:space="preserve"> درهم للمتر مكعب</w:t>
      </w:r>
      <w:r w:rsidRPr="000D46E0">
        <w:rPr>
          <w:sz w:val="28"/>
          <w:szCs w:val="28"/>
          <w:rtl/>
          <w:lang w:bidi="ar-MA"/>
        </w:rPr>
        <w:t xml:space="preserve"> </w:t>
      </w:r>
      <w:r w:rsidRPr="000D46E0">
        <w:rPr>
          <w:sz w:val="28"/>
          <w:szCs w:val="28"/>
          <w:rtl/>
        </w:rPr>
        <w:t>وهو ما يشكل أضعاف سعر مياه السدود؛ وهذا دليل على قدرتها على تحمل كلفة الإنتاج المرتفعة، ليس حبا في الإنتاج أو من أجل تقوية الاقتصاد الوطني، بل لأن سقف أرباحها لازال مرتفعا.</w:t>
      </w:r>
    </w:p>
    <w:p w14:paraId="3736A790" w14:textId="77777777" w:rsidR="000D46E0" w:rsidRPr="000D46E0" w:rsidRDefault="000D46E0" w:rsidP="000D46E0">
      <w:pPr>
        <w:bidi/>
        <w:jc w:val="both"/>
        <w:rPr>
          <w:b/>
          <w:bCs/>
          <w:sz w:val="28"/>
          <w:szCs w:val="28"/>
        </w:rPr>
      </w:pPr>
      <w:r w:rsidRPr="000D46E0">
        <w:rPr>
          <w:b/>
          <w:bCs/>
          <w:sz w:val="28"/>
          <w:szCs w:val="28"/>
          <w:rtl/>
        </w:rPr>
        <w:t>لذا فإن خطاب الأزمة مردود عليه، وكل المؤشرات تؤكد بأن الباطرونا الزراعية تروج لهذا الخطاب لمواصلة تأجيل استحقاق المساواة في الأجور في أفق التملص منه نهائيا.</w:t>
      </w:r>
    </w:p>
    <w:p w14:paraId="46C71122" w14:textId="77777777" w:rsidR="000D46E0" w:rsidRPr="000D46E0" w:rsidRDefault="000D46E0" w:rsidP="000D46E0">
      <w:pPr>
        <w:pStyle w:val="Paragraphedeliste"/>
        <w:numPr>
          <w:ilvl w:val="0"/>
          <w:numId w:val="7"/>
        </w:numPr>
        <w:bidi/>
        <w:spacing w:line="276" w:lineRule="auto"/>
        <w:jc w:val="both"/>
        <w:rPr>
          <w:b/>
          <w:bCs/>
          <w:sz w:val="28"/>
          <w:szCs w:val="28"/>
          <w:rtl/>
        </w:rPr>
      </w:pPr>
      <w:r w:rsidRPr="000D46E0">
        <w:rPr>
          <w:b/>
          <w:bCs/>
          <w:sz w:val="28"/>
          <w:szCs w:val="28"/>
          <w:u w:val="single"/>
          <w:rtl/>
        </w:rPr>
        <w:t xml:space="preserve"> كما نستند في إصرارنا على المطالبة بتنفيذ الاتفاق على توحيد الحد الادنى للأجور في جميع القطاعات، على المرجعية الدولية المتعلقة بالحقوق الشغلية وحقوق الإنسان عموما، وعلى التشريع الوطني والاتفاقات المبرمة في إطار الحوار الاجتماعي ثلاثي الاطراف.</w:t>
      </w:r>
    </w:p>
    <w:p w14:paraId="5DE92CAD" w14:textId="77777777" w:rsidR="000D46E0" w:rsidRPr="000D46E0" w:rsidRDefault="000D46E0" w:rsidP="000D46E0">
      <w:pPr>
        <w:bidi/>
        <w:jc w:val="both"/>
        <w:rPr>
          <w:sz w:val="28"/>
          <w:szCs w:val="28"/>
          <w:u w:val="single"/>
        </w:rPr>
      </w:pPr>
      <w:r w:rsidRPr="000D46E0">
        <w:rPr>
          <w:sz w:val="28"/>
          <w:szCs w:val="28"/>
          <w:u w:val="single"/>
          <w:rtl/>
        </w:rPr>
        <w:t>فمن منظور الشرعة الدولية لحقوق الانسان:</w:t>
      </w:r>
    </w:p>
    <w:p w14:paraId="5563D531" w14:textId="77777777" w:rsidR="000D46E0" w:rsidRPr="000D46E0" w:rsidRDefault="000D46E0" w:rsidP="000D46E0">
      <w:pPr>
        <w:bidi/>
        <w:jc w:val="both"/>
        <w:rPr>
          <w:sz w:val="28"/>
          <w:szCs w:val="28"/>
        </w:rPr>
      </w:pPr>
      <w:r w:rsidRPr="000D46E0">
        <w:rPr>
          <w:sz w:val="28"/>
          <w:szCs w:val="28"/>
          <w:rtl/>
        </w:rPr>
        <w:t>ـ نذكر بالتوصية رقم 135 بشأن تحديد الحد الأدنى للأجور الخاصة بالدول النامية والصادرة في 22 يوليوز 1970 والتي تنص على ربط تحديد المستويات الدنيا للأجور بالمعايير التالية:</w:t>
      </w:r>
    </w:p>
    <w:p w14:paraId="71F6ABAA" w14:textId="77777777" w:rsidR="000D46E0" w:rsidRPr="000D46E0" w:rsidRDefault="000D46E0" w:rsidP="000D46E0">
      <w:pPr>
        <w:bidi/>
        <w:jc w:val="both"/>
        <w:rPr>
          <w:b/>
          <w:bCs/>
          <w:sz w:val="28"/>
          <w:szCs w:val="28"/>
        </w:rPr>
      </w:pPr>
      <w:r w:rsidRPr="000D46E0">
        <w:rPr>
          <w:b/>
          <w:bCs/>
          <w:sz w:val="28"/>
          <w:szCs w:val="28"/>
          <w:rtl/>
        </w:rPr>
        <w:t xml:space="preserve">أ ـ حاجيات العمال وعائلاتهم؛ </w:t>
      </w:r>
    </w:p>
    <w:p w14:paraId="1F24840F" w14:textId="77777777" w:rsidR="000D46E0" w:rsidRPr="000D46E0" w:rsidRDefault="000D46E0" w:rsidP="000D46E0">
      <w:pPr>
        <w:bidi/>
        <w:jc w:val="both"/>
        <w:rPr>
          <w:b/>
          <w:bCs/>
          <w:sz w:val="28"/>
          <w:szCs w:val="28"/>
        </w:rPr>
      </w:pPr>
      <w:r w:rsidRPr="000D46E0">
        <w:rPr>
          <w:b/>
          <w:bCs/>
          <w:sz w:val="28"/>
          <w:szCs w:val="28"/>
          <w:rtl/>
        </w:rPr>
        <w:t>ب ـ المستوى العام للأجور في البلد؛</w:t>
      </w:r>
    </w:p>
    <w:p w14:paraId="56EAEB1F" w14:textId="77777777" w:rsidR="000D46E0" w:rsidRPr="000D46E0" w:rsidRDefault="000D46E0" w:rsidP="000D46E0">
      <w:pPr>
        <w:bidi/>
        <w:jc w:val="both"/>
        <w:rPr>
          <w:b/>
          <w:bCs/>
          <w:sz w:val="28"/>
          <w:szCs w:val="28"/>
        </w:rPr>
      </w:pPr>
      <w:r w:rsidRPr="000D46E0">
        <w:rPr>
          <w:b/>
          <w:bCs/>
          <w:sz w:val="28"/>
          <w:szCs w:val="28"/>
          <w:rtl/>
        </w:rPr>
        <w:t>ج - تكاليف المعيشة وتغيراتها؛</w:t>
      </w:r>
    </w:p>
    <w:p w14:paraId="0D4ADC88" w14:textId="77777777" w:rsidR="000D46E0" w:rsidRPr="000D46E0" w:rsidRDefault="000D46E0" w:rsidP="000D46E0">
      <w:pPr>
        <w:bidi/>
        <w:jc w:val="both"/>
        <w:rPr>
          <w:sz w:val="28"/>
          <w:szCs w:val="28"/>
        </w:rPr>
      </w:pPr>
      <w:r w:rsidRPr="000D46E0">
        <w:rPr>
          <w:b/>
          <w:bCs/>
          <w:sz w:val="28"/>
          <w:szCs w:val="28"/>
          <w:rtl/>
        </w:rPr>
        <w:t>د - إعانات الضمان الاجتماعي</w:t>
      </w:r>
      <w:r w:rsidRPr="000D46E0">
        <w:rPr>
          <w:sz w:val="28"/>
          <w:szCs w:val="28"/>
          <w:rtl/>
        </w:rPr>
        <w:t xml:space="preserve">؛ </w:t>
      </w:r>
    </w:p>
    <w:p w14:paraId="0BFAFFD6" w14:textId="77777777" w:rsidR="000D46E0" w:rsidRPr="000D46E0" w:rsidRDefault="000D46E0" w:rsidP="000D46E0">
      <w:pPr>
        <w:bidi/>
        <w:jc w:val="both"/>
        <w:rPr>
          <w:sz w:val="28"/>
          <w:szCs w:val="28"/>
        </w:rPr>
      </w:pPr>
      <w:r w:rsidRPr="000D46E0">
        <w:rPr>
          <w:sz w:val="28"/>
          <w:szCs w:val="28"/>
          <w:rtl/>
        </w:rPr>
        <w:t>ـ كما نستند في تشبثنا بوجوب التعجيل بتنفيذ اتفاق الغاء التمييز في الأجور على:</w:t>
      </w:r>
    </w:p>
    <w:p w14:paraId="37357196" w14:textId="77777777" w:rsidR="000D46E0" w:rsidRPr="000D46E0" w:rsidRDefault="000D46E0" w:rsidP="000D46E0">
      <w:pPr>
        <w:pStyle w:val="Paragraphedeliste"/>
        <w:numPr>
          <w:ilvl w:val="0"/>
          <w:numId w:val="8"/>
        </w:numPr>
        <w:bidi/>
        <w:spacing w:line="276" w:lineRule="auto"/>
        <w:jc w:val="both"/>
        <w:rPr>
          <w:sz w:val="28"/>
          <w:szCs w:val="28"/>
        </w:rPr>
      </w:pPr>
      <w:r w:rsidRPr="000D46E0">
        <w:rPr>
          <w:sz w:val="28"/>
          <w:szCs w:val="28"/>
          <w:rtl/>
        </w:rPr>
        <w:t xml:space="preserve">المادة 2 من اتفاقية منظمة العمل الدولية رقم 100 الخاصة بالمساواة بين العمال في الأجور، </w:t>
      </w:r>
      <w:r w:rsidRPr="000D46E0">
        <w:rPr>
          <w:strike/>
          <w:sz w:val="28"/>
          <w:szCs w:val="28"/>
          <w:rtl/>
        </w:rPr>
        <w:t>و</w:t>
      </w:r>
      <w:r w:rsidRPr="000D46E0">
        <w:rPr>
          <w:sz w:val="28"/>
          <w:szCs w:val="28"/>
          <w:rtl/>
        </w:rPr>
        <w:t>الصادرة في 29 يوليوز 1951؛</w:t>
      </w:r>
    </w:p>
    <w:p w14:paraId="18534DDA" w14:textId="77777777" w:rsidR="000D46E0" w:rsidRPr="000D46E0" w:rsidRDefault="000D46E0" w:rsidP="000D46E0">
      <w:pPr>
        <w:pStyle w:val="Paragraphedeliste"/>
        <w:numPr>
          <w:ilvl w:val="0"/>
          <w:numId w:val="8"/>
        </w:numPr>
        <w:bidi/>
        <w:spacing w:line="276" w:lineRule="auto"/>
        <w:jc w:val="both"/>
        <w:rPr>
          <w:sz w:val="28"/>
          <w:szCs w:val="28"/>
        </w:rPr>
      </w:pPr>
      <w:r w:rsidRPr="000D46E0">
        <w:rPr>
          <w:sz w:val="28"/>
          <w:szCs w:val="28"/>
          <w:rtl/>
        </w:rPr>
        <w:t>المادة 2 من الاتفاقية 131؛</w:t>
      </w:r>
    </w:p>
    <w:p w14:paraId="4EDE6D2D" w14:textId="77777777" w:rsidR="000D46E0" w:rsidRPr="000D46E0" w:rsidRDefault="000D46E0" w:rsidP="000D46E0">
      <w:pPr>
        <w:pStyle w:val="Paragraphedeliste"/>
        <w:numPr>
          <w:ilvl w:val="0"/>
          <w:numId w:val="8"/>
        </w:numPr>
        <w:bidi/>
        <w:spacing w:line="276" w:lineRule="auto"/>
        <w:jc w:val="both"/>
        <w:rPr>
          <w:sz w:val="28"/>
          <w:szCs w:val="28"/>
        </w:rPr>
      </w:pPr>
      <w:r w:rsidRPr="000D46E0">
        <w:rPr>
          <w:sz w:val="28"/>
          <w:szCs w:val="28"/>
          <w:rtl/>
        </w:rPr>
        <w:t>المادة 23 من الإعلان العالمي لحقوق الانسان، الصادر في 1948؛</w:t>
      </w:r>
    </w:p>
    <w:p w14:paraId="460F2E0A" w14:textId="77777777" w:rsidR="000D46E0" w:rsidRPr="000D46E0" w:rsidRDefault="000D46E0" w:rsidP="000D46E0">
      <w:pPr>
        <w:pStyle w:val="Paragraphedeliste"/>
        <w:numPr>
          <w:ilvl w:val="0"/>
          <w:numId w:val="8"/>
        </w:numPr>
        <w:bidi/>
        <w:spacing w:line="276" w:lineRule="auto"/>
        <w:jc w:val="both"/>
        <w:rPr>
          <w:sz w:val="28"/>
          <w:szCs w:val="28"/>
        </w:rPr>
      </w:pPr>
      <w:r w:rsidRPr="000D46E0">
        <w:rPr>
          <w:sz w:val="28"/>
          <w:szCs w:val="28"/>
          <w:rtl/>
        </w:rPr>
        <w:t>المواد من 6 إلى 10 من العهد الدولي الخاص بالحقوق الاقتصادية والاجتماعية والثقافية، الصادر في 1966 (دخل حيز التنفيذ سنة 1977) ووقعه المغرب سنة 1979؛</w:t>
      </w:r>
    </w:p>
    <w:p w14:paraId="4F66158A" w14:textId="77777777" w:rsidR="000D46E0" w:rsidRPr="000D46E0" w:rsidRDefault="000D46E0" w:rsidP="000D46E0">
      <w:pPr>
        <w:pStyle w:val="Paragraphedeliste"/>
        <w:numPr>
          <w:ilvl w:val="0"/>
          <w:numId w:val="7"/>
        </w:numPr>
        <w:bidi/>
        <w:spacing w:line="276" w:lineRule="auto"/>
        <w:jc w:val="both"/>
        <w:rPr>
          <w:sz w:val="28"/>
          <w:szCs w:val="28"/>
        </w:rPr>
      </w:pPr>
      <w:r w:rsidRPr="000D46E0">
        <w:rPr>
          <w:b/>
          <w:bCs/>
          <w:sz w:val="28"/>
          <w:szCs w:val="28"/>
          <w:u w:val="single"/>
          <w:rtl/>
        </w:rPr>
        <w:t xml:space="preserve">التشريع المغربي: </w:t>
      </w:r>
    </w:p>
    <w:p w14:paraId="1A553C28" w14:textId="77777777" w:rsidR="000D46E0" w:rsidRPr="000D46E0" w:rsidRDefault="000D46E0" w:rsidP="000D46E0">
      <w:pPr>
        <w:bidi/>
        <w:jc w:val="both"/>
        <w:rPr>
          <w:sz w:val="28"/>
          <w:szCs w:val="28"/>
        </w:rPr>
      </w:pPr>
      <w:r w:rsidRPr="000D46E0">
        <w:rPr>
          <w:sz w:val="28"/>
          <w:szCs w:val="28"/>
          <w:rtl/>
        </w:rPr>
        <w:t>نورد بهذا الخصوص فقرة واضحة من ديباجة مدونة الشغل الصادرة في 2003 والتي جاء فيها:</w:t>
      </w:r>
    </w:p>
    <w:p w14:paraId="52F18905" w14:textId="77777777" w:rsidR="000D46E0" w:rsidRPr="000D46E0" w:rsidRDefault="000D46E0" w:rsidP="000D46E0">
      <w:pPr>
        <w:bidi/>
        <w:jc w:val="both"/>
        <w:rPr>
          <w:b/>
          <w:bCs/>
          <w:sz w:val="28"/>
          <w:szCs w:val="28"/>
        </w:rPr>
      </w:pPr>
      <w:r w:rsidRPr="000D46E0">
        <w:rPr>
          <w:b/>
          <w:bCs/>
          <w:sz w:val="28"/>
          <w:szCs w:val="28"/>
          <w:rtl/>
        </w:rPr>
        <w:t>ـ المساواة في الأجر؛</w:t>
      </w:r>
    </w:p>
    <w:p w14:paraId="17227164" w14:textId="77777777" w:rsidR="000D46E0" w:rsidRPr="000D46E0" w:rsidRDefault="000D46E0" w:rsidP="000D46E0">
      <w:pPr>
        <w:bidi/>
        <w:jc w:val="both"/>
        <w:rPr>
          <w:b/>
          <w:bCs/>
          <w:sz w:val="28"/>
          <w:szCs w:val="28"/>
        </w:rPr>
      </w:pPr>
      <w:r w:rsidRPr="000D46E0">
        <w:rPr>
          <w:b/>
          <w:bCs/>
          <w:sz w:val="28"/>
          <w:szCs w:val="28"/>
          <w:rtl/>
        </w:rPr>
        <w:t>"ويترتب عن ذلك بصفة خاصة العمل على توحيد الحد الأدنى للأجور بين مختلف القطاعات بصفة تدريجية"</w:t>
      </w:r>
    </w:p>
    <w:p w14:paraId="1F64C460" w14:textId="77777777" w:rsidR="000D46E0" w:rsidRPr="000D46E0" w:rsidRDefault="000D46E0" w:rsidP="000D46E0">
      <w:pPr>
        <w:bidi/>
        <w:jc w:val="both"/>
        <w:rPr>
          <w:sz w:val="28"/>
          <w:szCs w:val="28"/>
        </w:rPr>
      </w:pPr>
      <w:r w:rsidRPr="000D46E0">
        <w:rPr>
          <w:sz w:val="28"/>
          <w:szCs w:val="28"/>
          <w:rtl/>
        </w:rPr>
        <w:t>مع الإشارة إلى أن ديباجة مدونة الشغل تمت المصادقة عليها كجزء من القانون رقم 65.99.</w:t>
      </w:r>
    </w:p>
    <w:p w14:paraId="77CE4F71" w14:textId="77777777" w:rsidR="000D46E0" w:rsidRPr="000D46E0" w:rsidRDefault="000D46E0" w:rsidP="000D46E0">
      <w:pPr>
        <w:pStyle w:val="Paragraphedeliste"/>
        <w:numPr>
          <w:ilvl w:val="0"/>
          <w:numId w:val="7"/>
        </w:numPr>
        <w:bidi/>
        <w:spacing w:line="276" w:lineRule="auto"/>
        <w:jc w:val="both"/>
        <w:rPr>
          <w:sz w:val="28"/>
          <w:szCs w:val="28"/>
          <w:rtl/>
        </w:rPr>
      </w:pPr>
      <w:r w:rsidRPr="000D46E0">
        <w:rPr>
          <w:b/>
          <w:bCs/>
          <w:sz w:val="28"/>
          <w:szCs w:val="28"/>
          <w:u w:val="single"/>
          <w:rtl/>
        </w:rPr>
        <w:t>الاتفاقات والالتزامات الثلاثية الأطراف.</w:t>
      </w:r>
    </w:p>
    <w:p w14:paraId="40CAA793" w14:textId="77777777" w:rsidR="000D46E0" w:rsidRPr="000D46E0" w:rsidRDefault="000D46E0" w:rsidP="000D46E0">
      <w:pPr>
        <w:pStyle w:val="Paragraphedeliste"/>
        <w:numPr>
          <w:ilvl w:val="0"/>
          <w:numId w:val="9"/>
        </w:numPr>
        <w:bidi/>
        <w:spacing w:line="276" w:lineRule="auto"/>
        <w:jc w:val="both"/>
        <w:rPr>
          <w:sz w:val="28"/>
          <w:szCs w:val="28"/>
        </w:rPr>
      </w:pPr>
      <w:r w:rsidRPr="000D46E0">
        <w:rPr>
          <w:sz w:val="28"/>
          <w:szCs w:val="28"/>
          <w:rtl/>
        </w:rPr>
        <w:t>نذكر هنا بالتوقيع قبل 14 سنة على اتفاق 26 أبريل 2011 الذي نص على وجوب إنهاء التمييز في الحد الأدنى للأجور بعد ثلاث سنوات على توقيع هذا الاتفاق؛</w:t>
      </w:r>
    </w:p>
    <w:p w14:paraId="398B8041" w14:textId="77777777" w:rsidR="000D46E0" w:rsidRPr="000D46E0" w:rsidRDefault="000D46E0" w:rsidP="000D46E0">
      <w:pPr>
        <w:pStyle w:val="Paragraphedeliste"/>
        <w:numPr>
          <w:ilvl w:val="0"/>
          <w:numId w:val="9"/>
        </w:numPr>
        <w:bidi/>
        <w:spacing w:line="276" w:lineRule="auto"/>
        <w:jc w:val="both"/>
        <w:rPr>
          <w:sz w:val="28"/>
          <w:szCs w:val="28"/>
        </w:rPr>
      </w:pPr>
      <w:r w:rsidRPr="000D46E0">
        <w:rPr>
          <w:sz w:val="28"/>
          <w:szCs w:val="28"/>
          <w:rtl/>
        </w:rPr>
        <w:t>تم إعادة الاتفاق منذ سنة 2022 على الالغاء التدريجي للفارق بين الحد الأدنى للأجور في الفلاحة وباقي القطاعات لتحقيق المساواة بينهما بحلول سنة 2028؛</w:t>
      </w:r>
    </w:p>
    <w:p w14:paraId="37C40CE3" w14:textId="77777777" w:rsidR="000D46E0" w:rsidRPr="000D46E0" w:rsidRDefault="000D46E0" w:rsidP="000D46E0">
      <w:pPr>
        <w:pStyle w:val="Paragraphedeliste"/>
        <w:numPr>
          <w:ilvl w:val="0"/>
          <w:numId w:val="9"/>
        </w:numPr>
        <w:bidi/>
        <w:spacing w:line="276" w:lineRule="auto"/>
        <w:jc w:val="both"/>
        <w:rPr>
          <w:sz w:val="28"/>
          <w:szCs w:val="28"/>
        </w:rPr>
      </w:pPr>
      <w:r w:rsidRPr="000D46E0">
        <w:rPr>
          <w:sz w:val="28"/>
          <w:szCs w:val="28"/>
          <w:rtl/>
        </w:rPr>
        <w:t>والشروع في تنفيذ هذا الاتفاق بصرف زيادة خاصة بنسبة 5٪ في الحد الادنى للأجور الفلاحي سنة 2022 و5٪ سنة 2025؛</w:t>
      </w:r>
    </w:p>
    <w:p w14:paraId="772F410B" w14:textId="77777777" w:rsidR="000D46E0" w:rsidRPr="000D46E0" w:rsidRDefault="000D46E0" w:rsidP="000D46E0">
      <w:pPr>
        <w:pStyle w:val="Paragraphedeliste"/>
        <w:numPr>
          <w:ilvl w:val="0"/>
          <w:numId w:val="9"/>
        </w:numPr>
        <w:bidi/>
        <w:spacing w:line="276" w:lineRule="auto"/>
        <w:jc w:val="both"/>
        <w:rPr>
          <w:sz w:val="28"/>
          <w:szCs w:val="28"/>
        </w:rPr>
      </w:pPr>
      <w:r w:rsidRPr="000D46E0">
        <w:rPr>
          <w:sz w:val="28"/>
          <w:szCs w:val="28"/>
          <w:rtl/>
        </w:rPr>
        <w:t>كما نستند في مطالبتنا بتفعيل الاتفاق على الغاء التمييز في الأجور ضد العمال الزراعيين، على الرسالة الجوابية التي تلقتها جامعتنا مؤخرا من وزير الإدماج الاقتصادي والمقاولة الصغرى والتشغيل والكفاءات حيث أنه وعلى إثر تعليق الزيادة الإضافية في الحد الأدنى للأجور الفلاحي التي كانت مرتقبة سنة 2023، قمنا في الجامعة الوطنية للقطاع الفلاحي باستنكار هذا الأمر والتنبيه لخطورة هذا التراجع في رسالة موجهة إلى وزير الإدماج الاجتماعي والمقاولة الصغرى والشغل والكفاءات، الذي رد علينا عبر الرسالة المذكورة، مجددا الالتزام الحكومي بتوحيد الحد الأدنى للأجور بين جميع القطاعات بحلول سنة 2028.</w:t>
      </w:r>
    </w:p>
    <w:p w14:paraId="6ADF485E" w14:textId="77777777" w:rsidR="000D46E0" w:rsidRPr="000D46E0" w:rsidRDefault="000D46E0" w:rsidP="000D46E0">
      <w:pPr>
        <w:pStyle w:val="Paragraphedeliste"/>
        <w:numPr>
          <w:ilvl w:val="0"/>
          <w:numId w:val="9"/>
        </w:numPr>
        <w:bidi/>
        <w:spacing w:line="276" w:lineRule="auto"/>
        <w:jc w:val="both"/>
        <w:rPr>
          <w:sz w:val="28"/>
          <w:szCs w:val="28"/>
        </w:rPr>
      </w:pPr>
      <w:r w:rsidRPr="000D46E0">
        <w:rPr>
          <w:sz w:val="28"/>
          <w:szCs w:val="28"/>
          <w:rtl/>
        </w:rPr>
        <w:t>وبالرجوع الى مضامين محضر اجتماعنا في 2 أبريل 2024 مع وزير الفلاحة حيث جاء فيها حرفيا:</w:t>
      </w:r>
      <w:r w:rsidRPr="000D46E0">
        <w:rPr>
          <w:color w:val="000000"/>
          <w:sz w:val="24"/>
          <w:szCs w:val="24"/>
          <w:rtl/>
        </w:rPr>
        <w:t xml:space="preserve"> "التزام السيد وزير الفلاحة والصيد البحري والتنمية القروية والمياه والغابات بالتنسيق مع وزارة الادماج الاقتصادي والمقاولة الصغرى والتشغيل </w:t>
      </w:r>
      <w:r w:rsidRPr="000D46E0">
        <w:rPr>
          <w:color w:val="000000"/>
          <w:sz w:val="28"/>
          <w:szCs w:val="28"/>
          <w:rtl/>
        </w:rPr>
        <w:t>والكفاءات لإخراج</w:t>
      </w:r>
      <w:r w:rsidRPr="000D46E0">
        <w:rPr>
          <w:color w:val="000000"/>
          <w:sz w:val="24"/>
          <w:szCs w:val="24"/>
          <w:rtl/>
        </w:rPr>
        <w:t xml:space="preserve"> مرسوم قانون يوضح ويدقق مراحل وكيفية تحقيق المساواة في الحد الأدنى للأجور بالقطاع الفلاحي ونظيره بالقطاع الصناعي في أفق سنة 2028"، وهو الالتزام الذي تم تأكيده في الحوار الأخير مع وزير الفلاحة في 07 فبراير 2025.</w:t>
      </w:r>
    </w:p>
    <w:p w14:paraId="12E82447" w14:textId="77777777" w:rsidR="000D46E0" w:rsidRPr="000D46E0" w:rsidRDefault="000D46E0" w:rsidP="000D46E0">
      <w:pPr>
        <w:bidi/>
        <w:ind w:left="360"/>
        <w:jc w:val="both"/>
        <w:rPr>
          <w:b/>
          <w:bCs/>
          <w:sz w:val="28"/>
          <w:szCs w:val="28"/>
        </w:rPr>
      </w:pPr>
      <w:r w:rsidRPr="000D46E0">
        <w:rPr>
          <w:b/>
          <w:bCs/>
          <w:sz w:val="28"/>
          <w:szCs w:val="28"/>
          <w:rtl/>
        </w:rPr>
        <w:t>وعليه، وتركيزا لما سبق فإننا في الجامعة الوطنية للقطاع الفلاحي نشدد على ضرورة استحضار:</w:t>
      </w:r>
    </w:p>
    <w:p w14:paraId="6EC48172" w14:textId="77777777" w:rsidR="000D46E0" w:rsidRPr="000D46E0" w:rsidRDefault="000D46E0" w:rsidP="000D46E0">
      <w:pPr>
        <w:bidi/>
        <w:ind w:left="360"/>
        <w:jc w:val="both"/>
        <w:rPr>
          <w:sz w:val="28"/>
          <w:szCs w:val="28"/>
        </w:rPr>
      </w:pPr>
      <w:r w:rsidRPr="000D46E0">
        <w:rPr>
          <w:sz w:val="28"/>
          <w:szCs w:val="28"/>
          <w:rtl/>
        </w:rPr>
        <w:t>ـ الأوضاع الاجتماعية لحوالي مليون عاملة وعامل زراعي، ووجود مئات الآلاف منهم تحث عتبة الفقر (سواء كانوا نشطاء أو متقاعدين) رفقة أفراد أسرهم، رغم دورهم الحاسم في انتاج الغداء للمغاربة والأرباح للباطرونا الزراعية، ورغم الوعود الحكومية والالتزامات على مستوى وزارة الفلاحة؛</w:t>
      </w:r>
    </w:p>
    <w:p w14:paraId="03A6E176" w14:textId="77777777" w:rsidR="000D46E0" w:rsidRPr="000D46E0" w:rsidRDefault="000D46E0" w:rsidP="000D46E0">
      <w:pPr>
        <w:bidi/>
        <w:ind w:left="360"/>
        <w:jc w:val="both"/>
        <w:rPr>
          <w:sz w:val="28"/>
          <w:szCs w:val="28"/>
        </w:rPr>
      </w:pPr>
      <w:r w:rsidRPr="000D46E0">
        <w:rPr>
          <w:sz w:val="28"/>
          <w:szCs w:val="28"/>
          <w:rtl/>
        </w:rPr>
        <w:t>ـ استمرار الباطرونا الزراعية في جنى الأرباح الطائلة من الفلاحة التصديرية رغم الجفاف وتوالي الأزمات الدولية، وهي أرباح تراكمت من خلال نشاطها الانتاجي والتجاري ومن خلال الإعانات الرسمية للدولة والإعفاءات الضريبية والتهرب الضريبي، وهي الأرباح التي تمكنها بسهولة كما يعلم الجميع من تحمل ارتفاع كلفة الإنتاج؛ إلا أنها للأسف تدعي أن أرباحها الهائلة هذه، لا تكفي لتحمل زيادات بسيطة ومستحقة ومتفق عليها منذ سنوات، من أجل إنصاف شريحة واسعة من الطبقة العاملة تعاني ظلما اجتماعيا تاريخا؛</w:t>
      </w:r>
    </w:p>
    <w:p w14:paraId="342426D6" w14:textId="77777777" w:rsidR="000D46E0" w:rsidRPr="000D46E0" w:rsidRDefault="000D46E0" w:rsidP="000D46E0">
      <w:pPr>
        <w:bidi/>
        <w:ind w:left="360"/>
        <w:jc w:val="both"/>
        <w:rPr>
          <w:sz w:val="28"/>
          <w:szCs w:val="28"/>
        </w:rPr>
      </w:pPr>
      <w:r w:rsidRPr="000D46E0">
        <w:rPr>
          <w:sz w:val="28"/>
          <w:szCs w:val="28"/>
          <w:rtl/>
        </w:rPr>
        <w:t>ـ تصديق الدولة على الاتفاقات والتوصيات الدولية المتعلقة بالحقوق الشغلية وحقوق الإنسان المتعلقة بالحد الادنى للأجور وضد التمييز؛</w:t>
      </w:r>
    </w:p>
    <w:p w14:paraId="69F2B7B5" w14:textId="77777777" w:rsidR="000D46E0" w:rsidRPr="000D46E0" w:rsidRDefault="000D46E0" w:rsidP="000D46E0">
      <w:pPr>
        <w:bidi/>
        <w:ind w:left="360"/>
        <w:jc w:val="both"/>
        <w:rPr>
          <w:sz w:val="28"/>
          <w:szCs w:val="28"/>
        </w:rPr>
      </w:pPr>
      <w:r w:rsidRPr="000D46E0">
        <w:rPr>
          <w:sz w:val="28"/>
          <w:szCs w:val="28"/>
          <w:rtl/>
        </w:rPr>
        <w:t>ـ وجود التزام من طرف الدولة منذ 21 سنة، أي منذ صدور مدونة الشغل، بالإلغاء التدريجي للفرق بين الحد الأدنى للأجور في الفلاحة ونظيره في باقي القطاعات؛</w:t>
      </w:r>
    </w:p>
    <w:p w14:paraId="1F7E7E09" w14:textId="77777777" w:rsidR="000D46E0" w:rsidRPr="000D46E0" w:rsidRDefault="000D46E0" w:rsidP="000D46E0">
      <w:pPr>
        <w:bidi/>
        <w:ind w:left="360"/>
        <w:jc w:val="both"/>
        <w:rPr>
          <w:sz w:val="28"/>
          <w:szCs w:val="28"/>
        </w:rPr>
      </w:pPr>
      <w:r w:rsidRPr="000D46E0">
        <w:rPr>
          <w:sz w:val="28"/>
          <w:szCs w:val="28"/>
          <w:rtl/>
        </w:rPr>
        <w:t>ـ وجود اتفاق ثلاثي ملزم في إطار الحوار الاجتماعي حول الموضوع، تم توقيعه منذ سنة 2022، جاء ليكرر اتفاقا مماثلا سابقا تم التنكر له منذ سنة 2011؛</w:t>
      </w:r>
    </w:p>
    <w:p w14:paraId="52B5EC98" w14:textId="77777777" w:rsidR="000D46E0" w:rsidRPr="000D46E0" w:rsidRDefault="000D46E0" w:rsidP="000D46E0">
      <w:pPr>
        <w:bidi/>
        <w:ind w:left="360"/>
        <w:jc w:val="both"/>
        <w:rPr>
          <w:sz w:val="28"/>
          <w:szCs w:val="28"/>
        </w:rPr>
      </w:pPr>
      <w:r w:rsidRPr="000D46E0">
        <w:rPr>
          <w:sz w:val="28"/>
          <w:szCs w:val="28"/>
          <w:rtl/>
        </w:rPr>
        <w:t>ـ تأكيد وزير الشغل في رسالة جوابية للجامعة الوطنية للقطاع الفلاحي على التزام الحكومة بتنفيذ الاتفاق وانهاء التمييز في الأجور ضد العمال الزراعيين تدريجيا بحلول سنة 2028.</w:t>
      </w:r>
    </w:p>
    <w:p w14:paraId="28426E71" w14:textId="77777777" w:rsidR="000D46E0" w:rsidRPr="000D46E0" w:rsidRDefault="000D46E0" w:rsidP="000D46E0">
      <w:pPr>
        <w:bidi/>
        <w:ind w:left="360"/>
        <w:jc w:val="both"/>
        <w:rPr>
          <w:sz w:val="28"/>
          <w:szCs w:val="28"/>
        </w:rPr>
      </w:pPr>
      <w:r w:rsidRPr="000D46E0">
        <w:rPr>
          <w:sz w:val="28"/>
          <w:szCs w:val="28"/>
          <w:rtl/>
        </w:rPr>
        <w:t>لكل ما تقدم نشدد على أحقية العاملات والعمال الزراعيين، كجزء من الطبقة العاملة، في رفع الظلم الاقتصادي والقهر الاجتماعي اللذان تكابدهما، وذلك عبر:</w:t>
      </w:r>
    </w:p>
    <w:p w14:paraId="1793BC1F" w14:textId="77777777" w:rsidR="000D46E0" w:rsidRPr="000D46E0" w:rsidRDefault="000D46E0" w:rsidP="000D46E0">
      <w:pPr>
        <w:bidi/>
        <w:ind w:left="360"/>
        <w:jc w:val="both"/>
        <w:rPr>
          <w:sz w:val="28"/>
          <w:szCs w:val="28"/>
        </w:rPr>
      </w:pPr>
      <w:r w:rsidRPr="000D46E0">
        <w:rPr>
          <w:sz w:val="28"/>
          <w:szCs w:val="28"/>
          <w:rtl/>
        </w:rPr>
        <w:t>ـ الإنهاء الفوري لكافة أشكال التمييز ضدها سواء في ساعات العمل أو في ضمان شروط الصحة والسلامة وأساسا في الأجور؛</w:t>
      </w:r>
    </w:p>
    <w:p w14:paraId="19A4A74A" w14:textId="77777777" w:rsidR="000D46E0" w:rsidRPr="000D46E0" w:rsidRDefault="000D46E0" w:rsidP="000D46E0">
      <w:pPr>
        <w:bidi/>
        <w:ind w:left="360"/>
        <w:jc w:val="both"/>
        <w:rPr>
          <w:sz w:val="28"/>
          <w:szCs w:val="28"/>
        </w:rPr>
      </w:pPr>
      <w:r w:rsidRPr="000D46E0">
        <w:rPr>
          <w:sz w:val="28"/>
          <w:szCs w:val="28"/>
          <w:rtl/>
        </w:rPr>
        <w:t>ـ وبصفة عاجلة استئناف تنفيذ التزام الحكومة والباطرونا الزراعية بإنهاء التمييز في الأجور بحلول سنة 2028؛</w:t>
      </w:r>
    </w:p>
    <w:p w14:paraId="5CB273EF" w14:textId="091989BB" w:rsidR="000D46E0" w:rsidRPr="000D46E0" w:rsidRDefault="000D46E0" w:rsidP="000D46E0">
      <w:pPr>
        <w:pStyle w:val="Paragraphedeliste"/>
        <w:numPr>
          <w:ilvl w:val="0"/>
          <w:numId w:val="9"/>
        </w:numPr>
        <w:bidi/>
        <w:spacing w:line="276" w:lineRule="auto"/>
        <w:jc w:val="both"/>
        <w:rPr>
          <w:sz w:val="28"/>
          <w:szCs w:val="28"/>
        </w:rPr>
      </w:pPr>
      <w:r w:rsidRPr="000D46E0">
        <w:rPr>
          <w:rFonts w:hint="cs"/>
          <w:sz w:val="28"/>
          <w:szCs w:val="28"/>
          <w:rtl/>
        </w:rPr>
        <w:t>لكل هذا واحتراما للالتزام الحكومي بتوحيد الحد الأدنى في أفق 2028 نطرح تتبع المنهجية التالية في مرسوم يوقعه رئيس الحكومة</w:t>
      </w:r>
      <w:r w:rsidRPr="000D46E0">
        <w:rPr>
          <w:sz w:val="28"/>
          <w:szCs w:val="28"/>
          <w:rtl/>
        </w:rPr>
        <w:t>:</w:t>
      </w:r>
    </w:p>
    <w:tbl>
      <w:tblPr>
        <w:tblStyle w:val="Grilledutableau"/>
        <w:tblpPr w:leftFromText="141" w:rightFromText="141" w:vertAnchor="text" w:horzAnchor="margin" w:tblpXSpec="center" w:tblpY="167"/>
        <w:bidiVisual/>
        <w:tblW w:w="11606" w:type="dxa"/>
        <w:tblInd w:w="0" w:type="dxa"/>
        <w:tblLook w:val="04A0" w:firstRow="1" w:lastRow="0" w:firstColumn="1" w:lastColumn="0" w:noHBand="0" w:noVBand="1"/>
      </w:tblPr>
      <w:tblGrid>
        <w:gridCol w:w="1110"/>
        <w:gridCol w:w="1044"/>
        <w:gridCol w:w="1148"/>
        <w:gridCol w:w="1172"/>
        <w:gridCol w:w="1015"/>
        <w:gridCol w:w="1015"/>
        <w:gridCol w:w="1015"/>
        <w:gridCol w:w="1015"/>
        <w:gridCol w:w="1072"/>
        <w:gridCol w:w="1015"/>
        <w:gridCol w:w="985"/>
      </w:tblGrid>
      <w:tr w:rsidR="000D46E0" w14:paraId="7D6FAF1D" w14:textId="77777777" w:rsidTr="000D46E0">
        <w:tc>
          <w:tcPr>
            <w:tcW w:w="1110" w:type="dxa"/>
            <w:tcBorders>
              <w:top w:val="single" w:sz="4" w:space="0" w:color="auto"/>
              <w:left w:val="single" w:sz="4" w:space="0" w:color="auto"/>
              <w:bottom w:val="single" w:sz="4" w:space="0" w:color="auto"/>
              <w:right w:val="single" w:sz="4" w:space="0" w:color="auto"/>
            </w:tcBorders>
          </w:tcPr>
          <w:p w14:paraId="2E16C4F2" w14:textId="77777777" w:rsidR="000D46E0" w:rsidRPr="00282E82" w:rsidRDefault="000D46E0" w:rsidP="000D46E0">
            <w:pPr>
              <w:bidi/>
              <w:jc w:val="both"/>
            </w:pPr>
          </w:p>
        </w:tc>
        <w:tc>
          <w:tcPr>
            <w:tcW w:w="1044" w:type="dxa"/>
            <w:tcBorders>
              <w:top w:val="single" w:sz="4" w:space="0" w:color="auto"/>
              <w:left w:val="single" w:sz="4" w:space="0" w:color="auto"/>
              <w:bottom w:val="single" w:sz="4" w:space="0" w:color="auto"/>
              <w:right w:val="single" w:sz="4" w:space="0" w:color="auto"/>
            </w:tcBorders>
            <w:hideMark/>
          </w:tcPr>
          <w:p w14:paraId="3A8E30B6" w14:textId="77777777" w:rsidR="000D46E0" w:rsidRPr="00282E82" w:rsidRDefault="000D46E0" w:rsidP="000D46E0">
            <w:pPr>
              <w:bidi/>
              <w:jc w:val="center"/>
              <w:rPr>
                <w:b/>
                <w:bCs/>
                <w:rtl/>
                <w:lang w:val="fr-MA" w:bidi="ar-MA"/>
              </w:rPr>
            </w:pPr>
            <w:r w:rsidRPr="00282E82">
              <w:rPr>
                <w:b/>
                <w:bCs/>
                <w:lang w:val="fr-MA" w:bidi="ar-MA"/>
              </w:rPr>
              <w:t>2021</w:t>
            </w:r>
          </w:p>
        </w:tc>
        <w:tc>
          <w:tcPr>
            <w:tcW w:w="1148" w:type="dxa"/>
            <w:tcBorders>
              <w:top w:val="single" w:sz="4" w:space="0" w:color="auto"/>
              <w:left w:val="single" w:sz="4" w:space="0" w:color="auto"/>
              <w:bottom w:val="single" w:sz="4" w:space="0" w:color="auto"/>
              <w:right w:val="single" w:sz="4" w:space="0" w:color="auto"/>
            </w:tcBorders>
            <w:hideMark/>
          </w:tcPr>
          <w:p w14:paraId="7BEF83D1" w14:textId="77777777" w:rsidR="000D46E0" w:rsidRPr="00282E82" w:rsidRDefault="000D46E0" w:rsidP="000D46E0">
            <w:pPr>
              <w:bidi/>
              <w:jc w:val="center"/>
              <w:rPr>
                <w:b/>
                <w:bCs/>
              </w:rPr>
            </w:pPr>
            <w:r w:rsidRPr="00282E82">
              <w:rPr>
                <w:b/>
                <w:bCs/>
              </w:rPr>
              <w:t>2022</w:t>
            </w:r>
          </w:p>
        </w:tc>
        <w:tc>
          <w:tcPr>
            <w:tcW w:w="1172" w:type="dxa"/>
            <w:tcBorders>
              <w:top w:val="single" w:sz="4" w:space="0" w:color="auto"/>
              <w:left w:val="single" w:sz="4" w:space="0" w:color="auto"/>
              <w:bottom w:val="single" w:sz="4" w:space="0" w:color="auto"/>
              <w:right w:val="single" w:sz="4" w:space="0" w:color="auto"/>
            </w:tcBorders>
            <w:hideMark/>
          </w:tcPr>
          <w:p w14:paraId="2EA0D0A1" w14:textId="77777777" w:rsidR="000D46E0" w:rsidRPr="00282E82" w:rsidRDefault="000D46E0" w:rsidP="000D46E0">
            <w:pPr>
              <w:bidi/>
              <w:jc w:val="center"/>
              <w:rPr>
                <w:b/>
                <w:bCs/>
                <w:rtl/>
              </w:rPr>
            </w:pPr>
            <w:r w:rsidRPr="00282E82">
              <w:rPr>
                <w:b/>
                <w:bCs/>
              </w:rPr>
              <w:t>2023</w:t>
            </w:r>
          </w:p>
        </w:tc>
        <w:tc>
          <w:tcPr>
            <w:tcW w:w="1015" w:type="dxa"/>
            <w:tcBorders>
              <w:top w:val="single" w:sz="4" w:space="0" w:color="auto"/>
              <w:left w:val="single" w:sz="4" w:space="0" w:color="auto"/>
              <w:bottom w:val="single" w:sz="4" w:space="0" w:color="auto"/>
              <w:right w:val="single" w:sz="4" w:space="0" w:color="auto"/>
            </w:tcBorders>
            <w:hideMark/>
          </w:tcPr>
          <w:p w14:paraId="6A7072F3" w14:textId="77777777" w:rsidR="000D46E0" w:rsidRPr="00282E82" w:rsidRDefault="000D46E0" w:rsidP="000D46E0">
            <w:pPr>
              <w:bidi/>
              <w:jc w:val="center"/>
              <w:rPr>
                <w:b/>
                <w:bCs/>
                <w:rtl/>
              </w:rPr>
            </w:pPr>
            <w:r w:rsidRPr="00282E82">
              <w:rPr>
                <w:b/>
                <w:bCs/>
              </w:rPr>
              <w:t>2024</w:t>
            </w:r>
          </w:p>
        </w:tc>
        <w:tc>
          <w:tcPr>
            <w:tcW w:w="1015" w:type="dxa"/>
            <w:tcBorders>
              <w:top w:val="single" w:sz="4" w:space="0" w:color="auto"/>
              <w:left w:val="single" w:sz="4" w:space="0" w:color="auto"/>
              <w:bottom w:val="single" w:sz="4" w:space="0" w:color="auto"/>
              <w:right w:val="single" w:sz="4" w:space="0" w:color="auto"/>
            </w:tcBorders>
            <w:hideMark/>
          </w:tcPr>
          <w:p w14:paraId="76F6B289" w14:textId="77777777" w:rsidR="000D46E0" w:rsidRDefault="000D46E0" w:rsidP="000D46E0">
            <w:pPr>
              <w:bidi/>
              <w:jc w:val="center"/>
              <w:rPr>
                <w:b/>
                <w:bCs/>
                <w:lang w:bidi="ar-MA"/>
              </w:rPr>
            </w:pPr>
            <w:r w:rsidRPr="00282E82">
              <w:rPr>
                <w:b/>
                <w:bCs/>
                <w:rtl/>
                <w:lang w:bidi="ar-MA"/>
              </w:rPr>
              <w:t>يناير</w:t>
            </w:r>
          </w:p>
          <w:p w14:paraId="712C1EF0" w14:textId="77777777" w:rsidR="000D46E0" w:rsidRPr="00282E82" w:rsidRDefault="000D46E0" w:rsidP="000D46E0">
            <w:pPr>
              <w:bidi/>
              <w:jc w:val="center"/>
              <w:rPr>
                <w:b/>
                <w:bCs/>
                <w:rtl/>
                <w:lang w:bidi="ar-MA"/>
              </w:rPr>
            </w:pPr>
            <w:r w:rsidRPr="00282E82">
              <w:rPr>
                <w:b/>
                <w:bCs/>
                <w:rtl/>
                <w:lang w:bidi="ar-MA"/>
              </w:rPr>
              <w:t>2025</w:t>
            </w:r>
          </w:p>
        </w:tc>
        <w:tc>
          <w:tcPr>
            <w:tcW w:w="1015" w:type="dxa"/>
            <w:tcBorders>
              <w:top w:val="single" w:sz="4" w:space="0" w:color="auto"/>
              <w:left w:val="single" w:sz="4" w:space="0" w:color="auto"/>
              <w:bottom w:val="single" w:sz="4" w:space="0" w:color="auto"/>
              <w:right w:val="single" w:sz="4" w:space="0" w:color="auto"/>
            </w:tcBorders>
          </w:tcPr>
          <w:p w14:paraId="44ABD00D" w14:textId="77777777" w:rsidR="000D46E0" w:rsidRDefault="000D46E0" w:rsidP="000D46E0">
            <w:pPr>
              <w:bidi/>
              <w:jc w:val="center"/>
              <w:rPr>
                <w:b/>
                <w:bCs/>
                <w:lang w:bidi="ar-MA"/>
              </w:rPr>
            </w:pPr>
            <w:r w:rsidRPr="00282E82">
              <w:rPr>
                <w:rFonts w:hint="cs"/>
                <w:b/>
                <w:bCs/>
                <w:rtl/>
                <w:lang w:bidi="ar-MA"/>
              </w:rPr>
              <w:t>أبريل</w:t>
            </w:r>
          </w:p>
          <w:p w14:paraId="0E596E19" w14:textId="77777777" w:rsidR="000D46E0" w:rsidRPr="00282E82" w:rsidRDefault="000D46E0" w:rsidP="000D46E0">
            <w:pPr>
              <w:bidi/>
              <w:jc w:val="center"/>
              <w:rPr>
                <w:b/>
                <w:bCs/>
                <w:rtl/>
              </w:rPr>
            </w:pPr>
            <w:r w:rsidRPr="00282E82">
              <w:rPr>
                <w:b/>
                <w:bCs/>
                <w:rtl/>
                <w:lang w:bidi="ar-MA"/>
              </w:rPr>
              <w:t>2025</w:t>
            </w:r>
          </w:p>
        </w:tc>
        <w:tc>
          <w:tcPr>
            <w:tcW w:w="1015" w:type="dxa"/>
            <w:tcBorders>
              <w:top w:val="single" w:sz="4" w:space="0" w:color="auto"/>
              <w:left w:val="single" w:sz="4" w:space="0" w:color="auto"/>
              <w:bottom w:val="single" w:sz="4" w:space="0" w:color="auto"/>
              <w:right w:val="single" w:sz="4" w:space="0" w:color="auto"/>
            </w:tcBorders>
          </w:tcPr>
          <w:p w14:paraId="17E173BA" w14:textId="77777777" w:rsidR="000D46E0" w:rsidRDefault="000D46E0" w:rsidP="000D46E0">
            <w:pPr>
              <w:bidi/>
              <w:jc w:val="center"/>
              <w:rPr>
                <w:b/>
                <w:bCs/>
                <w:lang w:bidi="ar-MA"/>
              </w:rPr>
            </w:pPr>
            <w:r w:rsidRPr="00282E82">
              <w:rPr>
                <w:rFonts w:hint="cs"/>
                <w:b/>
                <w:bCs/>
                <w:rtl/>
                <w:lang w:bidi="ar-MA"/>
              </w:rPr>
              <w:t>يوليوز</w:t>
            </w:r>
          </w:p>
          <w:p w14:paraId="3F21545A" w14:textId="77777777" w:rsidR="000D46E0" w:rsidRPr="00282E82" w:rsidRDefault="000D46E0" w:rsidP="000D46E0">
            <w:pPr>
              <w:bidi/>
              <w:jc w:val="center"/>
              <w:rPr>
                <w:b/>
                <w:bCs/>
                <w:rtl/>
                <w:lang w:bidi="ar-MA"/>
              </w:rPr>
            </w:pPr>
            <w:r>
              <w:rPr>
                <w:b/>
                <w:bCs/>
                <w:lang w:bidi="ar-MA"/>
              </w:rPr>
              <w:t>2025</w:t>
            </w:r>
          </w:p>
        </w:tc>
        <w:tc>
          <w:tcPr>
            <w:tcW w:w="1072" w:type="dxa"/>
            <w:tcBorders>
              <w:top w:val="single" w:sz="4" w:space="0" w:color="auto"/>
              <w:left w:val="single" w:sz="4" w:space="0" w:color="auto"/>
              <w:bottom w:val="single" w:sz="4" w:space="0" w:color="auto"/>
              <w:right w:val="single" w:sz="4" w:space="0" w:color="auto"/>
            </w:tcBorders>
            <w:hideMark/>
          </w:tcPr>
          <w:p w14:paraId="7CADD9DB" w14:textId="77777777" w:rsidR="000D46E0" w:rsidRDefault="000D46E0" w:rsidP="000D46E0">
            <w:pPr>
              <w:bidi/>
              <w:jc w:val="center"/>
              <w:rPr>
                <w:b/>
                <w:bCs/>
              </w:rPr>
            </w:pPr>
            <w:r w:rsidRPr="00282E82">
              <w:rPr>
                <w:b/>
                <w:bCs/>
                <w:rtl/>
              </w:rPr>
              <w:t>يناير</w:t>
            </w:r>
          </w:p>
          <w:p w14:paraId="348BAC9B" w14:textId="77777777" w:rsidR="000D46E0" w:rsidRPr="00282E82" w:rsidRDefault="000D46E0" w:rsidP="000D46E0">
            <w:pPr>
              <w:bidi/>
              <w:jc w:val="center"/>
              <w:rPr>
                <w:b/>
                <w:bCs/>
                <w:rtl/>
              </w:rPr>
            </w:pPr>
            <w:r w:rsidRPr="00282E82">
              <w:rPr>
                <w:b/>
                <w:bCs/>
                <w:rtl/>
              </w:rPr>
              <w:t>2026</w:t>
            </w:r>
          </w:p>
        </w:tc>
        <w:tc>
          <w:tcPr>
            <w:tcW w:w="1015" w:type="dxa"/>
            <w:tcBorders>
              <w:top w:val="single" w:sz="4" w:space="0" w:color="auto"/>
              <w:left w:val="single" w:sz="4" w:space="0" w:color="auto"/>
              <w:bottom w:val="single" w:sz="4" w:space="0" w:color="auto"/>
              <w:right w:val="single" w:sz="4" w:space="0" w:color="auto"/>
            </w:tcBorders>
            <w:hideMark/>
          </w:tcPr>
          <w:p w14:paraId="6D698E7F" w14:textId="77777777" w:rsidR="000D46E0" w:rsidRPr="00282E82" w:rsidRDefault="000D46E0" w:rsidP="000D46E0">
            <w:pPr>
              <w:bidi/>
              <w:jc w:val="center"/>
              <w:rPr>
                <w:b/>
                <w:bCs/>
                <w:rtl/>
              </w:rPr>
            </w:pPr>
            <w:r w:rsidRPr="00282E82">
              <w:rPr>
                <w:b/>
                <w:bCs/>
                <w:rtl/>
              </w:rPr>
              <w:t>ماي 2027</w:t>
            </w:r>
          </w:p>
        </w:tc>
        <w:tc>
          <w:tcPr>
            <w:tcW w:w="985" w:type="dxa"/>
            <w:tcBorders>
              <w:top w:val="single" w:sz="4" w:space="0" w:color="auto"/>
              <w:left w:val="single" w:sz="4" w:space="0" w:color="auto"/>
              <w:bottom w:val="single" w:sz="4" w:space="0" w:color="auto"/>
              <w:right w:val="single" w:sz="4" w:space="0" w:color="auto"/>
            </w:tcBorders>
            <w:hideMark/>
          </w:tcPr>
          <w:p w14:paraId="058C9653" w14:textId="77777777" w:rsidR="000D46E0" w:rsidRPr="00282E82" w:rsidRDefault="000D46E0" w:rsidP="000D46E0">
            <w:pPr>
              <w:bidi/>
              <w:jc w:val="center"/>
              <w:rPr>
                <w:b/>
                <w:bCs/>
                <w:rtl/>
              </w:rPr>
            </w:pPr>
            <w:r w:rsidRPr="00282E82">
              <w:rPr>
                <w:b/>
                <w:bCs/>
                <w:rtl/>
              </w:rPr>
              <w:t>2028</w:t>
            </w:r>
          </w:p>
        </w:tc>
      </w:tr>
      <w:tr w:rsidR="000D46E0" w14:paraId="6EE1CF44" w14:textId="77777777" w:rsidTr="000D46E0">
        <w:tc>
          <w:tcPr>
            <w:tcW w:w="1110" w:type="dxa"/>
            <w:tcBorders>
              <w:top w:val="single" w:sz="4" w:space="0" w:color="auto"/>
              <w:left w:val="single" w:sz="4" w:space="0" w:color="auto"/>
              <w:bottom w:val="single" w:sz="4" w:space="0" w:color="auto"/>
              <w:right w:val="single" w:sz="4" w:space="0" w:color="auto"/>
            </w:tcBorders>
            <w:hideMark/>
          </w:tcPr>
          <w:p w14:paraId="409DD7E2" w14:textId="77777777" w:rsidR="000D46E0" w:rsidRPr="00282E82" w:rsidRDefault="000D46E0" w:rsidP="000D46E0">
            <w:pPr>
              <w:bidi/>
              <w:jc w:val="center"/>
              <w:rPr>
                <w:rtl/>
                <w:lang w:val="fr-MA" w:bidi="ar-MA"/>
              </w:rPr>
            </w:pPr>
            <w:r w:rsidRPr="00282E82">
              <w:rPr>
                <w:lang w:val="fr-MA"/>
              </w:rPr>
              <w:t>=A</w:t>
            </w:r>
            <w:r w:rsidRPr="00282E82">
              <w:rPr>
                <w:rtl/>
                <w:lang w:val="fr-MA" w:bidi="ar-MA"/>
              </w:rPr>
              <w:t>سميك اليومي</w:t>
            </w:r>
            <w:r w:rsidRPr="00282E82">
              <w:rPr>
                <w:lang w:val="fr-MA" w:bidi="ar-MA"/>
              </w:rPr>
              <w:t>*</w:t>
            </w:r>
          </w:p>
        </w:tc>
        <w:tc>
          <w:tcPr>
            <w:tcW w:w="1044" w:type="dxa"/>
            <w:tcBorders>
              <w:top w:val="single" w:sz="4" w:space="0" w:color="auto"/>
              <w:left w:val="single" w:sz="4" w:space="0" w:color="auto"/>
              <w:bottom w:val="single" w:sz="4" w:space="0" w:color="auto"/>
              <w:right w:val="single" w:sz="4" w:space="0" w:color="auto"/>
            </w:tcBorders>
            <w:hideMark/>
          </w:tcPr>
          <w:p w14:paraId="026FC5C2" w14:textId="77777777" w:rsidR="000D46E0" w:rsidRPr="00282E82" w:rsidRDefault="000D46E0" w:rsidP="000D46E0">
            <w:pPr>
              <w:bidi/>
              <w:jc w:val="center"/>
              <w:rPr>
                <w:rtl/>
                <w:lang w:val="fr-MA" w:bidi="ar-MA"/>
              </w:rPr>
            </w:pPr>
            <w:r w:rsidRPr="00282E82">
              <w:rPr>
                <w:lang w:val="fr-MA"/>
              </w:rPr>
              <w:t xml:space="preserve">108.60 </w:t>
            </w:r>
            <w:r w:rsidRPr="00282E82">
              <w:rPr>
                <w:rtl/>
                <w:lang w:val="fr-MA" w:bidi="ar-MA"/>
              </w:rPr>
              <w:t>د</w:t>
            </w:r>
          </w:p>
        </w:tc>
        <w:tc>
          <w:tcPr>
            <w:tcW w:w="1148" w:type="dxa"/>
            <w:tcBorders>
              <w:top w:val="single" w:sz="4" w:space="0" w:color="auto"/>
              <w:left w:val="single" w:sz="4" w:space="0" w:color="auto"/>
              <w:bottom w:val="single" w:sz="4" w:space="0" w:color="auto"/>
              <w:right w:val="single" w:sz="4" w:space="0" w:color="auto"/>
            </w:tcBorders>
            <w:hideMark/>
          </w:tcPr>
          <w:p w14:paraId="15024FFD" w14:textId="77777777" w:rsidR="000D46E0" w:rsidRPr="00282E82" w:rsidRDefault="000D46E0" w:rsidP="000D46E0">
            <w:pPr>
              <w:bidi/>
              <w:jc w:val="center"/>
              <w:rPr>
                <w:rtl/>
              </w:rPr>
            </w:pPr>
            <w:r w:rsidRPr="00282E82">
              <w:t>+(10%)1/2</w:t>
            </w:r>
          </w:p>
          <w:p w14:paraId="14C34C58" w14:textId="77777777" w:rsidR="000D46E0" w:rsidRPr="00282E82" w:rsidRDefault="000D46E0" w:rsidP="000D46E0">
            <w:pPr>
              <w:bidi/>
              <w:jc w:val="center"/>
              <w:rPr>
                <w:lang w:bidi="ar-MA"/>
              </w:rPr>
            </w:pPr>
            <w:r w:rsidRPr="00282E82">
              <w:t>114.03</w:t>
            </w:r>
            <w:r w:rsidRPr="00282E82">
              <w:rPr>
                <w:rtl/>
                <w:lang w:bidi="ar-MA"/>
              </w:rPr>
              <w:t>د</w:t>
            </w:r>
          </w:p>
        </w:tc>
        <w:tc>
          <w:tcPr>
            <w:tcW w:w="1172" w:type="dxa"/>
            <w:tcBorders>
              <w:top w:val="single" w:sz="4" w:space="0" w:color="auto"/>
              <w:left w:val="single" w:sz="4" w:space="0" w:color="auto"/>
              <w:bottom w:val="single" w:sz="4" w:space="0" w:color="auto"/>
              <w:right w:val="single" w:sz="4" w:space="0" w:color="auto"/>
            </w:tcBorders>
            <w:hideMark/>
          </w:tcPr>
          <w:p w14:paraId="235495A0" w14:textId="77777777" w:rsidR="000D46E0" w:rsidRPr="00282E82" w:rsidRDefault="000D46E0" w:rsidP="000D46E0">
            <w:pPr>
              <w:bidi/>
              <w:jc w:val="center"/>
              <w:rPr>
                <w:rtl/>
              </w:rPr>
            </w:pPr>
            <w:r w:rsidRPr="00282E82">
              <w:t>+(10%)1/2</w:t>
            </w:r>
          </w:p>
          <w:p w14:paraId="7EFCE3CD" w14:textId="77777777" w:rsidR="000D46E0" w:rsidRPr="00282E82" w:rsidRDefault="000D46E0" w:rsidP="000D46E0">
            <w:pPr>
              <w:bidi/>
              <w:jc w:val="center"/>
            </w:pPr>
            <w:r w:rsidRPr="00282E82">
              <w:t>119.46</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46BC3705" w14:textId="77777777" w:rsidR="000D46E0" w:rsidRPr="00282E82" w:rsidRDefault="000D46E0" w:rsidP="000D46E0">
            <w:pPr>
              <w:bidi/>
              <w:jc w:val="center"/>
              <w:rPr>
                <w:rtl/>
              </w:rPr>
            </w:pPr>
            <w:r w:rsidRPr="00282E82">
              <w:t>119.46</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3D9784EC" w14:textId="77777777" w:rsidR="000D46E0" w:rsidRPr="00282E82" w:rsidRDefault="000D46E0" w:rsidP="000D46E0">
            <w:pPr>
              <w:bidi/>
              <w:jc w:val="center"/>
              <w:rPr>
                <w:rtl/>
              </w:rPr>
            </w:pPr>
            <w:r w:rsidRPr="00282E82">
              <w:t>+(5%)</w:t>
            </w:r>
          </w:p>
          <w:p w14:paraId="78D31DDC" w14:textId="77777777" w:rsidR="000D46E0" w:rsidRPr="00282E82" w:rsidRDefault="000D46E0" w:rsidP="000D46E0">
            <w:pPr>
              <w:bidi/>
              <w:jc w:val="center"/>
            </w:pPr>
            <w:r w:rsidRPr="00282E82">
              <w:t>125.43</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tcPr>
          <w:p w14:paraId="562D6FBD" w14:textId="77777777" w:rsidR="000D46E0" w:rsidRPr="00282E82" w:rsidRDefault="000D46E0" w:rsidP="000D46E0">
            <w:pPr>
              <w:bidi/>
              <w:jc w:val="center"/>
              <w:rPr>
                <w:rtl/>
              </w:rPr>
            </w:pPr>
            <w:r w:rsidRPr="00282E82">
              <w:rPr>
                <w:rFonts w:hint="cs"/>
                <w:rtl/>
              </w:rPr>
              <w:t>-</w:t>
            </w:r>
          </w:p>
          <w:p w14:paraId="28249861" w14:textId="77777777" w:rsidR="000D46E0" w:rsidRPr="00282E82" w:rsidRDefault="000D46E0" w:rsidP="000D46E0">
            <w:pPr>
              <w:bidi/>
              <w:jc w:val="center"/>
            </w:pPr>
            <w:r w:rsidRPr="00282E82">
              <w:t>125.43</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tcPr>
          <w:p w14:paraId="1EF6783D" w14:textId="77777777" w:rsidR="000D46E0" w:rsidRPr="00282E82" w:rsidRDefault="000D46E0" w:rsidP="000D46E0">
            <w:pPr>
              <w:bidi/>
              <w:jc w:val="center"/>
              <w:rPr>
                <w:rtl/>
              </w:rPr>
            </w:pPr>
            <w:r w:rsidRPr="00282E82">
              <w:rPr>
                <w:rFonts w:hint="cs"/>
                <w:rtl/>
              </w:rPr>
              <w:t>-</w:t>
            </w:r>
          </w:p>
          <w:p w14:paraId="706F7C12" w14:textId="77777777" w:rsidR="000D46E0" w:rsidRPr="00282E82" w:rsidRDefault="000D46E0" w:rsidP="000D46E0">
            <w:pPr>
              <w:bidi/>
              <w:jc w:val="center"/>
            </w:pPr>
            <w:r w:rsidRPr="00282E82">
              <w:t>125.43</w:t>
            </w:r>
            <w:r w:rsidRPr="00282E82">
              <w:rPr>
                <w:rtl/>
                <w:lang w:bidi="ar-MA"/>
              </w:rPr>
              <w:t>د</w:t>
            </w:r>
          </w:p>
        </w:tc>
        <w:tc>
          <w:tcPr>
            <w:tcW w:w="1072" w:type="dxa"/>
            <w:tcBorders>
              <w:top w:val="single" w:sz="4" w:space="0" w:color="auto"/>
              <w:left w:val="single" w:sz="4" w:space="0" w:color="auto"/>
              <w:bottom w:val="single" w:sz="4" w:space="0" w:color="auto"/>
              <w:right w:val="single" w:sz="4" w:space="0" w:color="auto"/>
            </w:tcBorders>
            <w:hideMark/>
          </w:tcPr>
          <w:p w14:paraId="7FF7BC6A" w14:textId="77777777" w:rsidR="000D46E0" w:rsidRPr="00282E82" w:rsidRDefault="000D46E0" w:rsidP="000D46E0">
            <w:pPr>
              <w:bidi/>
              <w:jc w:val="center"/>
            </w:pPr>
            <w:r w:rsidRPr="00282E82">
              <w:t>+5%</w:t>
            </w:r>
          </w:p>
          <w:p w14:paraId="5E0434B4" w14:textId="77777777" w:rsidR="000D46E0" w:rsidRPr="00282E82" w:rsidRDefault="000D46E0" w:rsidP="000D46E0">
            <w:pPr>
              <w:bidi/>
              <w:jc w:val="center"/>
            </w:pPr>
            <w:r w:rsidRPr="00282E82">
              <w:t>131.70</w:t>
            </w:r>
          </w:p>
        </w:tc>
        <w:tc>
          <w:tcPr>
            <w:tcW w:w="1015" w:type="dxa"/>
            <w:tcBorders>
              <w:top w:val="single" w:sz="4" w:space="0" w:color="auto"/>
              <w:left w:val="single" w:sz="4" w:space="0" w:color="auto"/>
              <w:bottom w:val="single" w:sz="4" w:space="0" w:color="auto"/>
              <w:right w:val="single" w:sz="4" w:space="0" w:color="auto"/>
            </w:tcBorders>
            <w:hideMark/>
          </w:tcPr>
          <w:p w14:paraId="6266C384" w14:textId="77777777" w:rsidR="000D46E0" w:rsidRPr="00282E82" w:rsidRDefault="000D46E0" w:rsidP="000D46E0">
            <w:pPr>
              <w:bidi/>
              <w:jc w:val="center"/>
              <w:rPr>
                <w:rtl/>
              </w:rPr>
            </w:pPr>
            <w:r w:rsidRPr="00282E82">
              <w:t>?</w:t>
            </w:r>
            <w:r w:rsidRPr="00282E82">
              <w:br/>
              <w:t>(**)</w:t>
            </w:r>
          </w:p>
        </w:tc>
        <w:tc>
          <w:tcPr>
            <w:tcW w:w="985" w:type="dxa"/>
            <w:tcBorders>
              <w:top w:val="single" w:sz="4" w:space="0" w:color="auto"/>
              <w:left w:val="single" w:sz="4" w:space="0" w:color="auto"/>
              <w:bottom w:val="single" w:sz="4" w:space="0" w:color="auto"/>
              <w:right w:val="single" w:sz="4" w:space="0" w:color="auto"/>
            </w:tcBorders>
            <w:hideMark/>
          </w:tcPr>
          <w:p w14:paraId="1B678EE6" w14:textId="77777777" w:rsidR="000D46E0" w:rsidRPr="00282E82" w:rsidRDefault="000D46E0" w:rsidP="000D46E0">
            <w:pPr>
              <w:bidi/>
              <w:jc w:val="center"/>
              <w:rPr>
                <w:rtl/>
              </w:rPr>
            </w:pPr>
            <w:r w:rsidRPr="00282E82">
              <w:t>?</w:t>
            </w:r>
            <w:r w:rsidRPr="00282E82">
              <w:br/>
              <w:t>(**)</w:t>
            </w:r>
          </w:p>
        </w:tc>
      </w:tr>
      <w:tr w:rsidR="000D46E0" w14:paraId="0C9C8D64" w14:textId="77777777" w:rsidTr="000D46E0">
        <w:tc>
          <w:tcPr>
            <w:tcW w:w="1110" w:type="dxa"/>
            <w:tcBorders>
              <w:top w:val="single" w:sz="4" w:space="0" w:color="auto"/>
              <w:left w:val="single" w:sz="4" w:space="0" w:color="auto"/>
              <w:bottom w:val="single" w:sz="4" w:space="0" w:color="auto"/>
              <w:right w:val="single" w:sz="4" w:space="0" w:color="auto"/>
            </w:tcBorders>
            <w:hideMark/>
          </w:tcPr>
          <w:p w14:paraId="67D94901" w14:textId="77777777" w:rsidR="000D46E0" w:rsidRPr="00282E82" w:rsidRDefault="000D46E0" w:rsidP="000D46E0">
            <w:pPr>
              <w:bidi/>
              <w:jc w:val="center"/>
              <w:rPr>
                <w:rtl/>
                <w:lang w:bidi="ar-MA"/>
              </w:rPr>
            </w:pPr>
            <w:r w:rsidRPr="00282E82">
              <w:t>=B</w:t>
            </w:r>
            <w:r w:rsidRPr="00282E82">
              <w:rPr>
                <w:rtl/>
                <w:lang w:bidi="ar-MA"/>
              </w:rPr>
              <w:t xml:space="preserve"> سماك اليومي</w:t>
            </w:r>
          </w:p>
        </w:tc>
        <w:tc>
          <w:tcPr>
            <w:tcW w:w="1044" w:type="dxa"/>
            <w:tcBorders>
              <w:top w:val="single" w:sz="4" w:space="0" w:color="auto"/>
              <w:left w:val="single" w:sz="4" w:space="0" w:color="auto"/>
              <w:bottom w:val="single" w:sz="4" w:space="0" w:color="auto"/>
              <w:right w:val="single" w:sz="4" w:space="0" w:color="auto"/>
            </w:tcBorders>
            <w:hideMark/>
          </w:tcPr>
          <w:p w14:paraId="15D29B62" w14:textId="77777777" w:rsidR="000D46E0" w:rsidRPr="00282E82" w:rsidRDefault="000D46E0" w:rsidP="000D46E0">
            <w:pPr>
              <w:bidi/>
              <w:jc w:val="center"/>
              <w:rPr>
                <w:rtl/>
                <w:lang w:val="fr-MA" w:bidi="ar-MA"/>
              </w:rPr>
            </w:pPr>
            <w:r w:rsidRPr="00282E82">
              <w:rPr>
                <w:lang w:val="fr-MA"/>
              </w:rPr>
              <w:t xml:space="preserve">76.60 </w:t>
            </w:r>
            <w:r w:rsidRPr="00282E82">
              <w:rPr>
                <w:rtl/>
                <w:lang w:val="fr-MA" w:bidi="ar-MA"/>
              </w:rPr>
              <w:t>د</w:t>
            </w:r>
          </w:p>
        </w:tc>
        <w:tc>
          <w:tcPr>
            <w:tcW w:w="1148" w:type="dxa"/>
            <w:tcBorders>
              <w:top w:val="single" w:sz="4" w:space="0" w:color="auto"/>
              <w:left w:val="single" w:sz="4" w:space="0" w:color="auto"/>
              <w:bottom w:val="single" w:sz="4" w:space="0" w:color="auto"/>
              <w:right w:val="single" w:sz="4" w:space="0" w:color="auto"/>
            </w:tcBorders>
            <w:hideMark/>
          </w:tcPr>
          <w:p w14:paraId="4B9FC748" w14:textId="77777777" w:rsidR="000D46E0" w:rsidRPr="00282E82" w:rsidRDefault="000D46E0" w:rsidP="000D46E0">
            <w:pPr>
              <w:bidi/>
              <w:jc w:val="center"/>
              <w:rPr>
                <w:rtl/>
              </w:rPr>
            </w:pPr>
            <w:r w:rsidRPr="00282E82">
              <w:t>+10%</w:t>
            </w:r>
          </w:p>
          <w:p w14:paraId="4BACF656" w14:textId="77777777" w:rsidR="000D46E0" w:rsidRPr="00282E82" w:rsidRDefault="000D46E0" w:rsidP="000D46E0">
            <w:pPr>
              <w:bidi/>
              <w:jc w:val="center"/>
              <w:rPr>
                <w:lang w:val="fr-MA"/>
              </w:rPr>
            </w:pPr>
            <w:r w:rsidRPr="00282E82">
              <w:t>84.26</w:t>
            </w:r>
          </w:p>
        </w:tc>
        <w:tc>
          <w:tcPr>
            <w:tcW w:w="1172" w:type="dxa"/>
            <w:tcBorders>
              <w:top w:val="single" w:sz="4" w:space="0" w:color="auto"/>
              <w:left w:val="single" w:sz="4" w:space="0" w:color="auto"/>
              <w:bottom w:val="single" w:sz="4" w:space="0" w:color="auto"/>
              <w:right w:val="single" w:sz="4" w:space="0" w:color="auto"/>
            </w:tcBorders>
            <w:hideMark/>
          </w:tcPr>
          <w:p w14:paraId="457331A2" w14:textId="77777777" w:rsidR="000D46E0" w:rsidRPr="00282E82" w:rsidRDefault="000D46E0" w:rsidP="000D46E0">
            <w:pPr>
              <w:bidi/>
              <w:jc w:val="center"/>
            </w:pPr>
            <w:r w:rsidRPr="00282E82">
              <w:t>+5%</w:t>
            </w:r>
          </w:p>
          <w:p w14:paraId="6F43FF5F" w14:textId="77777777" w:rsidR="000D46E0" w:rsidRPr="00282E82" w:rsidRDefault="000D46E0" w:rsidP="000D46E0">
            <w:pPr>
              <w:bidi/>
              <w:jc w:val="center"/>
            </w:pPr>
            <w:r w:rsidRPr="00282E82">
              <w:t>88.47</w:t>
            </w:r>
          </w:p>
        </w:tc>
        <w:tc>
          <w:tcPr>
            <w:tcW w:w="1015" w:type="dxa"/>
            <w:tcBorders>
              <w:top w:val="single" w:sz="4" w:space="0" w:color="auto"/>
              <w:left w:val="single" w:sz="4" w:space="0" w:color="auto"/>
              <w:bottom w:val="single" w:sz="4" w:space="0" w:color="auto"/>
              <w:right w:val="single" w:sz="4" w:space="0" w:color="auto"/>
            </w:tcBorders>
            <w:hideMark/>
          </w:tcPr>
          <w:p w14:paraId="1EA8D274" w14:textId="77777777" w:rsidR="000D46E0" w:rsidRPr="00282E82" w:rsidRDefault="000D46E0" w:rsidP="000D46E0">
            <w:pPr>
              <w:bidi/>
              <w:jc w:val="center"/>
            </w:pPr>
            <w:r w:rsidRPr="00282E82">
              <w:t>-</w:t>
            </w:r>
          </w:p>
          <w:p w14:paraId="4D9E7831" w14:textId="77777777" w:rsidR="000D46E0" w:rsidRPr="00282E82" w:rsidRDefault="000D46E0" w:rsidP="000D46E0">
            <w:pPr>
              <w:bidi/>
              <w:jc w:val="center"/>
              <w:rPr>
                <w:rtl/>
              </w:rPr>
            </w:pPr>
            <w:r w:rsidRPr="00282E82">
              <w:t>88.47</w:t>
            </w:r>
          </w:p>
        </w:tc>
        <w:tc>
          <w:tcPr>
            <w:tcW w:w="1015" w:type="dxa"/>
            <w:tcBorders>
              <w:top w:val="single" w:sz="4" w:space="0" w:color="auto"/>
              <w:left w:val="single" w:sz="4" w:space="0" w:color="auto"/>
              <w:bottom w:val="single" w:sz="4" w:space="0" w:color="auto"/>
              <w:right w:val="single" w:sz="4" w:space="0" w:color="auto"/>
            </w:tcBorders>
            <w:hideMark/>
          </w:tcPr>
          <w:p w14:paraId="5375D7A7" w14:textId="77777777" w:rsidR="000D46E0" w:rsidRPr="00282E82" w:rsidRDefault="000D46E0" w:rsidP="000D46E0">
            <w:pPr>
              <w:bidi/>
              <w:jc w:val="center"/>
            </w:pPr>
            <w:r w:rsidRPr="00282E82">
              <w:t>-</w:t>
            </w:r>
          </w:p>
          <w:p w14:paraId="6ADEF210" w14:textId="77777777" w:rsidR="000D46E0" w:rsidRPr="00282E82" w:rsidRDefault="000D46E0" w:rsidP="000D46E0">
            <w:pPr>
              <w:bidi/>
              <w:jc w:val="center"/>
            </w:pPr>
            <w:r w:rsidRPr="00282E82">
              <w:t>88.47</w:t>
            </w:r>
          </w:p>
        </w:tc>
        <w:tc>
          <w:tcPr>
            <w:tcW w:w="1015" w:type="dxa"/>
            <w:tcBorders>
              <w:top w:val="single" w:sz="4" w:space="0" w:color="auto"/>
              <w:left w:val="single" w:sz="4" w:space="0" w:color="auto"/>
              <w:bottom w:val="single" w:sz="4" w:space="0" w:color="auto"/>
              <w:right w:val="single" w:sz="4" w:space="0" w:color="auto"/>
            </w:tcBorders>
          </w:tcPr>
          <w:p w14:paraId="05F94C33" w14:textId="77777777" w:rsidR="000D46E0" w:rsidRPr="00282E82" w:rsidRDefault="000D46E0" w:rsidP="000D46E0">
            <w:pPr>
              <w:bidi/>
              <w:jc w:val="center"/>
            </w:pPr>
            <w:r w:rsidRPr="00282E82">
              <w:t>+5%</w:t>
            </w:r>
          </w:p>
          <w:p w14:paraId="47ECE1B8" w14:textId="77777777" w:rsidR="000D46E0" w:rsidRPr="00282E82" w:rsidRDefault="000D46E0" w:rsidP="000D46E0">
            <w:pPr>
              <w:bidi/>
              <w:jc w:val="center"/>
            </w:pPr>
            <w:r w:rsidRPr="00282E82">
              <w:t>93.00</w:t>
            </w:r>
          </w:p>
        </w:tc>
        <w:tc>
          <w:tcPr>
            <w:tcW w:w="1015" w:type="dxa"/>
            <w:tcBorders>
              <w:top w:val="single" w:sz="4" w:space="0" w:color="auto"/>
              <w:left w:val="single" w:sz="4" w:space="0" w:color="auto"/>
              <w:bottom w:val="single" w:sz="4" w:space="0" w:color="auto"/>
              <w:right w:val="single" w:sz="4" w:space="0" w:color="auto"/>
            </w:tcBorders>
          </w:tcPr>
          <w:p w14:paraId="659C3B97" w14:textId="77777777" w:rsidR="000D46E0" w:rsidRPr="00282E82" w:rsidRDefault="000D46E0" w:rsidP="000D46E0">
            <w:pPr>
              <w:bidi/>
              <w:jc w:val="center"/>
            </w:pPr>
            <w:r w:rsidRPr="00282E82">
              <w:t>+5%</w:t>
            </w:r>
          </w:p>
          <w:p w14:paraId="35A6F157" w14:textId="77777777" w:rsidR="000D46E0" w:rsidRPr="00282E82" w:rsidRDefault="000D46E0" w:rsidP="000D46E0">
            <w:pPr>
              <w:bidi/>
              <w:jc w:val="center"/>
            </w:pPr>
            <w:r w:rsidRPr="00282E82">
              <w:t>97.65</w:t>
            </w:r>
          </w:p>
        </w:tc>
        <w:tc>
          <w:tcPr>
            <w:tcW w:w="1072" w:type="dxa"/>
            <w:tcBorders>
              <w:top w:val="single" w:sz="4" w:space="0" w:color="auto"/>
              <w:left w:val="single" w:sz="4" w:space="0" w:color="auto"/>
              <w:bottom w:val="single" w:sz="4" w:space="0" w:color="auto"/>
              <w:right w:val="single" w:sz="4" w:space="0" w:color="auto"/>
            </w:tcBorders>
            <w:hideMark/>
          </w:tcPr>
          <w:p w14:paraId="60855625" w14:textId="77777777" w:rsidR="000D46E0" w:rsidRPr="00282E82" w:rsidRDefault="000D46E0" w:rsidP="000D46E0">
            <w:pPr>
              <w:bidi/>
              <w:jc w:val="center"/>
              <w:rPr>
                <w:rtl/>
              </w:rPr>
            </w:pPr>
            <w:r w:rsidRPr="00282E82">
              <w:t>+10%</w:t>
            </w:r>
          </w:p>
          <w:p w14:paraId="7646A47A" w14:textId="77777777" w:rsidR="000D46E0" w:rsidRPr="00282E82" w:rsidRDefault="000D46E0" w:rsidP="000D46E0">
            <w:pPr>
              <w:bidi/>
              <w:jc w:val="center"/>
            </w:pPr>
            <w:r w:rsidRPr="00282E82">
              <w:t>107.40</w:t>
            </w:r>
          </w:p>
        </w:tc>
        <w:tc>
          <w:tcPr>
            <w:tcW w:w="1015" w:type="dxa"/>
            <w:tcBorders>
              <w:top w:val="single" w:sz="4" w:space="0" w:color="auto"/>
              <w:left w:val="single" w:sz="4" w:space="0" w:color="auto"/>
              <w:bottom w:val="single" w:sz="4" w:space="0" w:color="auto"/>
              <w:right w:val="single" w:sz="4" w:space="0" w:color="auto"/>
            </w:tcBorders>
            <w:hideMark/>
          </w:tcPr>
          <w:p w14:paraId="0F20D0C3" w14:textId="77777777" w:rsidR="000D46E0" w:rsidRPr="00282E82" w:rsidRDefault="000D46E0" w:rsidP="000D46E0">
            <w:pPr>
              <w:bidi/>
              <w:jc w:val="center"/>
              <w:rPr>
                <w:rtl/>
              </w:rPr>
            </w:pPr>
            <w:r w:rsidRPr="00282E82">
              <w:t>+10%</w:t>
            </w:r>
          </w:p>
          <w:p w14:paraId="78F586CD" w14:textId="77777777" w:rsidR="000D46E0" w:rsidRPr="00282E82" w:rsidRDefault="000D46E0" w:rsidP="000D46E0">
            <w:pPr>
              <w:bidi/>
              <w:jc w:val="center"/>
            </w:pPr>
            <w:r w:rsidRPr="00282E82">
              <w:t>118.14</w:t>
            </w:r>
          </w:p>
        </w:tc>
        <w:tc>
          <w:tcPr>
            <w:tcW w:w="985" w:type="dxa"/>
            <w:tcBorders>
              <w:top w:val="single" w:sz="4" w:space="0" w:color="auto"/>
              <w:left w:val="single" w:sz="4" w:space="0" w:color="auto"/>
              <w:bottom w:val="single" w:sz="4" w:space="0" w:color="auto"/>
              <w:right w:val="single" w:sz="4" w:space="0" w:color="auto"/>
            </w:tcBorders>
            <w:hideMark/>
          </w:tcPr>
          <w:p w14:paraId="7E416EFD" w14:textId="77777777" w:rsidR="000D46E0" w:rsidRPr="00282E82" w:rsidRDefault="000D46E0" w:rsidP="000D46E0">
            <w:pPr>
              <w:bidi/>
              <w:jc w:val="center"/>
              <w:rPr>
                <w:rtl/>
              </w:rPr>
            </w:pPr>
            <w:r w:rsidRPr="00282E82">
              <w:t>+</w:t>
            </w:r>
            <w:r>
              <w:t>11.48</w:t>
            </w:r>
            <w:r w:rsidRPr="00282E82">
              <w:t>%</w:t>
            </w:r>
          </w:p>
          <w:p w14:paraId="2F4BDE51" w14:textId="77777777" w:rsidR="000D46E0" w:rsidRPr="00282E82" w:rsidRDefault="000D46E0" w:rsidP="000D46E0">
            <w:pPr>
              <w:bidi/>
              <w:jc w:val="center"/>
            </w:pPr>
            <w:r w:rsidRPr="00282E82">
              <w:t>131.70</w:t>
            </w:r>
          </w:p>
        </w:tc>
      </w:tr>
      <w:tr w:rsidR="000D46E0" w14:paraId="00BF21A1" w14:textId="77777777" w:rsidTr="000D46E0">
        <w:tc>
          <w:tcPr>
            <w:tcW w:w="1110" w:type="dxa"/>
            <w:tcBorders>
              <w:top w:val="single" w:sz="4" w:space="0" w:color="auto"/>
              <w:left w:val="single" w:sz="4" w:space="0" w:color="auto"/>
              <w:bottom w:val="single" w:sz="4" w:space="0" w:color="auto"/>
              <w:right w:val="single" w:sz="4" w:space="0" w:color="auto"/>
            </w:tcBorders>
            <w:hideMark/>
          </w:tcPr>
          <w:p w14:paraId="6CE8DF23" w14:textId="77777777" w:rsidR="000D46E0" w:rsidRPr="00282E82" w:rsidRDefault="000D46E0" w:rsidP="000D46E0">
            <w:pPr>
              <w:bidi/>
              <w:jc w:val="center"/>
              <w:rPr>
                <w:rtl/>
                <w:lang w:bidi="ar-MA"/>
              </w:rPr>
            </w:pPr>
            <w:r w:rsidRPr="00282E82">
              <w:t>=C</w:t>
            </w:r>
            <w:r w:rsidRPr="00282E82">
              <w:rPr>
                <w:rtl/>
                <w:lang w:bidi="ar-MA"/>
              </w:rPr>
              <w:t xml:space="preserve"> سميك الشهري</w:t>
            </w:r>
          </w:p>
          <w:p w14:paraId="3CC52931" w14:textId="77777777" w:rsidR="000D46E0" w:rsidRPr="00282E82" w:rsidRDefault="000D46E0" w:rsidP="000D46E0">
            <w:pPr>
              <w:bidi/>
              <w:jc w:val="center"/>
              <w:rPr>
                <w:rtl/>
                <w:lang w:val="fr-MA"/>
              </w:rPr>
            </w:pPr>
            <w:r w:rsidRPr="00282E82">
              <w:rPr>
                <w:lang w:val="fr-MA" w:bidi="ar-MA"/>
              </w:rPr>
              <w:t>A*26</w:t>
            </w:r>
          </w:p>
        </w:tc>
        <w:tc>
          <w:tcPr>
            <w:tcW w:w="1044" w:type="dxa"/>
            <w:tcBorders>
              <w:top w:val="single" w:sz="4" w:space="0" w:color="auto"/>
              <w:left w:val="single" w:sz="4" w:space="0" w:color="auto"/>
              <w:bottom w:val="single" w:sz="4" w:space="0" w:color="auto"/>
              <w:right w:val="single" w:sz="4" w:space="0" w:color="auto"/>
            </w:tcBorders>
            <w:hideMark/>
          </w:tcPr>
          <w:p w14:paraId="72CA10CB" w14:textId="77777777" w:rsidR="000D46E0" w:rsidRPr="00282E82" w:rsidRDefault="000D46E0" w:rsidP="000D46E0">
            <w:pPr>
              <w:bidi/>
              <w:jc w:val="center"/>
              <w:rPr>
                <w:lang w:val="fr-MA" w:bidi="ar-MA"/>
              </w:rPr>
            </w:pPr>
            <w:r w:rsidRPr="00282E82">
              <w:rPr>
                <w:lang w:val="fr-MA"/>
              </w:rPr>
              <w:t xml:space="preserve">2823.60 </w:t>
            </w:r>
            <w:r w:rsidRPr="00282E82">
              <w:rPr>
                <w:rtl/>
                <w:lang w:val="fr-MA" w:bidi="ar-MA"/>
              </w:rPr>
              <w:t>د</w:t>
            </w:r>
          </w:p>
        </w:tc>
        <w:tc>
          <w:tcPr>
            <w:tcW w:w="1148" w:type="dxa"/>
            <w:tcBorders>
              <w:top w:val="single" w:sz="4" w:space="0" w:color="auto"/>
              <w:left w:val="single" w:sz="4" w:space="0" w:color="auto"/>
              <w:bottom w:val="single" w:sz="4" w:space="0" w:color="auto"/>
              <w:right w:val="single" w:sz="4" w:space="0" w:color="auto"/>
            </w:tcBorders>
            <w:hideMark/>
          </w:tcPr>
          <w:p w14:paraId="4CF32D56" w14:textId="77777777" w:rsidR="000D46E0" w:rsidRPr="00282E82" w:rsidRDefault="000D46E0" w:rsidP="000D46E0">
            <w:pPr>
              <w:bidi/>
              <w:jc w:val="center"/>
              <w:rPr>
                <w:lang w:bidi="ar-MA"/>
              </w:rPr>
            </w:pPr>
            <w:r w:rsidRPr="00282E82">
              <w:t>2964.78</w:t>
            </w:r>
            <w:r w:rsidRPr="00282E82">
              <w:rPr>
                <w:rtl/>
                <w:lang w:bidi="ar-MA"/>
              </w:rPr>
              <w:t>د</w:t>
            </w:r>
          </w:p>
        </w:tc>
        <w:tc>
          <w:tcPr>
            <w:tcW w:w="1172" w:type="dxa"/>
            <w:tcBorders>
              <w:top w:val="single" w:sz="4" w:space="0" w:color="auto"/>
              <w:left w:val="single" w:sz="4" w:space="0" w:color="auto"/>
              <w:bottom w:val="single" w:sz="4" w:space="0" w:color="auto"/>
              <w:right w:val="single" w:sz="4" w:space="0" w:color="auto"/>
            </w:tcBorders>
            <w:hideMark/>
          </w:tcPr>
          <w:p w14:paraId="281F242B" w14:textId="77777777" w:rsidR="000D46E0" w:rsidRPr="00282E82" w:rsidRDefault="000D46E0" w:rsidP="000D46E0">
            <w:pPr>
              <w:bidi/>
              <w:jc w:val="center"/>
              <w:rPr>
                <w:rtl/>
                <w:lang w:bidi="ar-MA"/>
              </w:rPr>
            </w:pPr>
            <w:r w:rsidRPr="00282E82">
              <w:t>3105.96</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4DBB5CFD" w14:textId="77777777" w:rsidR="000D46E0" w:rsidRPr="00282E82" w:rsidRDefault="000D46E0" w:rsidP="000D46E0">
            <w:pPr>
              <w:bidi/>
              <w:jc w:val="center"/>
              <w:rPr>
                <w:rtl/>
              </w:rPr>
            </w:pPr>
            <w:r w:rsidRPr="00282E82">
              <w:t>3105.96</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27EB27CF" w14:textId="77777777" w:rsidR="000D46E0" w:rsidRPr="00282E82" w:rsidRDefault="000D46E0" w:rsidP="000D46E0">
            <w:pPr>
              <w:bidi/>
              <w:jc w:val="center"/>
              <w:rPr>
                <w:rtl/>
              </w:rPr>
            </w:pPr>
            <w:r w:rsidRPr="00282E82">
              <w:t>3261.18</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tcPr>
          <w:p w14:paraId="0362F822" w14:textId="77777777" w:rsidR="000D46E0" w:rsidRPr="00282E82" w:rsidRDefault="000D46E0" w:rsidP="000D46E0">
            <w:pPr>
              <w:bidi/>
              <w:jc w:val="center"/>
            </w:pPr>
            <w:r w:rsidRPr="00282E82">
              <w:t>3261.18</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tcPr>
          <w:p w14:paraId="06D5F238" w14:textId="77777777" w:rsidR="000D46E0" w:rsidRPr="00282E82" w:rsidRDefault="000D46E0" w:rsidP="000D46E0">
            <w:pPr>
              <w:bidi/>
              <w:jc w:val="center"/>
            </w:pPr>
            <w:r w:rsidRPr="00282E82">
              <w:t>3261.18</w:t>
            </w:r>
            <w:r w:rsidRPr="00282E82">
              <w:rPr>
                <w:rtl/>
                <w:lang w:bidi="ar-MA"/>
              </w:rPr>
              <w:t>د</w:t>
            </w:r>
          </w:p>
        </w:tc>
        <w:tc>
          <w:tcPr>
            <w:tcW w:w="1072" w:type="dxa"/>
            <w:tcBorders>
              <w:top w:val="single" w:sz="4" w:space="0" w:color="auto"/>
              <w:left w:val="single" w:sz="4" w:space="0" w:color="auto"/>
              <w:bottom w:val="single" w:sz="4" w:space="0" w:color="auto"/>
              <w:right w:val="single" w:sz="4" w:space="0" w:color="auto"/>
            </w:tcBorders>
            <w:hideMark/>
          </w:tcPr>
          <w:p w14:paraId="58B9F4DB" w14:textId="77777777" w:rsidR="000D46E0" w:rsidRPr="00282E82" w:rsidRDefault="000D46E0" w:rsidP="000D46E0">
            <w:pPr>
              <w:bidi/>
              <w:jc w:val="center"/>
              <w:rPr>
                <w:rtl/>
              </w:rPr>
            </w:pPr>
            <w:r w:rsidRPr="00282E82">
              <w:t>3424.2</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70F35D55" w14:textId="77777777" w:rsidR="000D46E0" w:rsidRPr="00282E82" w:rsidRDefault="000D46E0" w:rsidP="000D46E0">
            <w:pPr>
              <w:bidi/>
              <w:jc w:val="center"/>
              <w:rPr>
                <w:rtl/>
                <w:lang w:val="fr-MA" w:bidi="ar-MA"/>
              </w:rPr>
            </w:pPr>
            <w:r w:rsidRPr="00282E82">
              <w:t>3424.2</w:t>
            </w:r>
            <w:r w:rsidRPr="00282E82">
              <w:rPr>
                <w:rtl/>
                <w:lang w:bidi="ar-MA"/>
              </w:rPr>
              <w:t>د</w:t>
            </w:r>
          </w:p>
        </w:tc>
        <w:tc>
          <w:tcPr>
            <w:tcW w:w="985" w:type="dxa"/>
            <w:tcBorders>
              <w:top w:val="single" w:sz="4" w:space="0" w:color="auto"/>
              <w:left w:val="single" w:sz="4" w:space="0" w:color="auto"/>
              <w:bottom w:val="single" w:sz="4" w:space="0" w:color="auto"/>
              <w:right w:val="single" w:sz="4" w:space="0" w:color="auto"/>
            </w:tcBorders>
            <w:hideMark/>
          </w:tcPr>
          <w:p w14:paraId="435075AC" w14:textId="77777777" w:rsidR="000D46E0" w:rsidRPr="00282E82" w:rsidRDefault="000D46E0" w:rsidP="000D46E0">
            <w:pPr>
              <w:bidi/>
              <w:jc w:val="center"/>
            </w:pPr>
            <w:r w:rsidRPr="00282E82">
              <w:t>3424.2</w:t>
            </w:r>
          </w:p>
        </w:tc>
      </w:tr>
      <w:tr w:rsidR="000D46E0" w14:paraId="306D0BBD" w14:textId="77777777" w:rsidTr="000D46E0">
        <w:tc>
          <w:tcPr>
            <w:tcW w:w="1110" w:type="dxa"/>
            <w:tcBorders>
              <w:top w:val="single" w:sz="4" w:space="0" w:color="auto"/>
              <w:left w:val="single" w:sz="4" w:space="0" w:color="auto"/>
              <w:bottom w:val="single" w:sz="4" w:space="0" w:color="auto"/>
              <w:right w:val="single" w:sz="4" w:space="0" w:color="auto"/>
            </w:tcBorders>
            <w:hideMark/>
          </w:tcPr>
          <w:p w14:paraId="3F79BE4F" w14:textId="77777777" w:rsidR="000D46E0" w:rsidRPr="00282E82" w:rsidRDefault="000D46E0" w:rsidP="000D46E0">
            <w:pPr>
              <w:bidi/>
              <w:jc w:val="center"/>
              <w:rPr>
                <w:rtl/>
                <w:lang w:bidi="ar-MA"/>
              </w:rPr>
            </w:pPr>
            <w:r w:rsidRPr="00282E82">
              <w:t>=D</w:t>
            </w:r>
            <w:r w:rsidRPr="00282E82">
              <w:rPr>
                <w:rtl/>
                <w:lang w:bidi="ar-MA"/>
              </w:rPr>
              <w:t xml:space="preserve"> سماك الشهري</w:t>
            </w:r>
          </w:p>
          <w:p w14:paraId="3C86A59B" w14:textId="77777777" w:rsidR="000D46E0" w:rsidRPr="00282E82" w:rsidRDefault="000D46E0" w:rsidP="000D46E0">
            <w:pPr>
              <w:bidi/>
              <w:jc w:val="center"/>
              <w:rPr>
                <w:rtl/>
                <w:lang w:val="fr-MA"/>
              </w:rPr>
            </w:pPr>
            <w:r>
              <w:rPr>
                <w:lang w:val="fr-MA" w:bidi="ar-MA"/>
              </w:rPr>
              <w:t>B</w:t>
            </w:r>
            <w:r w:rsidRPr="00282E82">
              <w:rPr>
                <w:lang w:val="fr-MA" w:bidi="ar-MA"/>
              </w:rPr>
              <w:t>*26</w:t>
            </w:r>
          </w:p>
        </w:tc>
        <w:tc>
          <w:tcPr>
            <w:tcW w:w="1044" w:type="dxa"/>
            <w:tcBorders>
              <w:top w:val="single" w:sz="4" w:space="0" w:color="auto"/>
              <w:left w:val="single" w:sz="4" w:space="0" w:color="auto"/>
              <w:bottom w:val="single" w:sz="4" w:space="0" w:color="auto"/>
              <w:right w:val="single" w:sz="4" w:space="0" w:color="auto"/>
            </w:tcBorders>
            <w:hideMark/>
          </w:tcPr>
          <w:p w14:paraId="148C0680" w14:textId="77777777" w:rsidR="000D46E0" w:rsidRPr="00282E82" w:rsidRDefault="000D46E0" w:rsidP="000D46E0">
            <w:pPr>
              <w:bidi/>
              <w:jc w:val="center"/>
              <w:rPr>
                <w:lang w:bidi="ar-MA"/>
              </w:rPr>
            </w:pPr>
            <w:r w:rsidRPr="00282E82">
              <w:t>1991.60</w:t>
            </w:r>
            <w:r w:rsidRPr="00282E82">
              <w:rPr>
                <w:rtl/>
                <w:lang w:bidi="ar-MA"/>
              </w:rPr>
              <w:t>د</w:t>
            </w:r>
          </w:p>
        </w:tc>
        <w:tc>
          <w:tcPr>
            <w:tcW w:w="1148" w:type="dxa"/>
            <w:tcBorders>
              <w:top w:val="single" w:sz="4" w:space="0" w:color="auto"/>
              <w:left w:val="single" w:sz="4" w:space="0" w:color="auto"/>
              <w:bottom w:val="single" w:sz="4" w:space="0" w:color="auto"/>
              <w:right w:val="single" w:sz="4" w:space="0" w:color="auto"/>
            </w:tcBorders>
            <w:hideMark/>
          </w:tcPr>
          <w:p w14:paraId="5AE21226" w14:textId="77777777" w:rsidR="000D46E0" w:rsidRPr="00282E82" w:rsidRDefault="000D46E0" w:rsidP="000D46E0">
            <w:pPr>
              <w:bidi/>
              <w:jc w:val="center"/>
              <w:rPr>
                <w:rtl/>
                <w:lang w:val="fr-MA" w:bidi="ar-MA"/>
              </w:rPr>
            </w:pPr>
            <w:r w:rsidRPr="00282E82">
              <w:rPr>
                <w:lang w:val="fr-MA"/>
              </w:rPr>
              <w:t>2190.76</w:t>
            </w:r>
            <w:r w:rsidRPr="00282E82">
              <w:rPr>
                <w:rtl/>
                <w:lang w:val="fr-MA" w:bidi="ar-MA"/>
              </w:rPr>
              <w:t>د</w:t>
            </w:r>
          </w:p>
        </w:tc>
        <w:tc>
          <w:tcPr>
            <w:tcW w:w="1172" w:type="dxa"/>
            <w:tcBorders>
              <w:top w:val="single" w:sz="4" w:space="0" w:color="auto"/>
              <w:left w:val="single" w:sz="4" w:space="0" w:color="auto"/>
              <w:bottom w:val="single" w:sz="4" w:space="0" w:color="auto"/>
              <w:right w:val="single" w:sz="4" w:space="0" w:color="auto"/>
            </w:tcBorders>
            <w:hideMark/>
          </w:tcPr>
          <w:p w14:paraId="2DDF17BE" w14:textId="77777777" w:rsidR="000D46E0" w:rsidRPr="00282E82" w:rsidRDefault="000D46E0" w:rsidP="000D46E0">
            <w:pPr>
              <w:bidi/>
              <w:jc w:val="center"/>
              <w:rPr>
                <w:rtl/>
                <w:lang w:val="fr-MA" w:bidi="ar-MA"/>
              </w:rPr>
            </w:pPr>
            <w:r w:rsidRPr="00282E82">
              <w:rPr>
                <w:lang w:val="fr-MA"/>
              </w:rPr>
              <w:t>2300.22</w:t>
            </w:r>
            <w:r w:rsidRPr="00282E82">
              <w:rPr>
                <w:rtl/>
                <w:lang w:val="fr-MA"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629EA8FE" w14:textId="77777777" w:rsidR="000D46E0" w:rsidRPr="00282E82" w:rsidRDefault="000D46E0" w:rsidP="000D46E0">
            <w:pPr>
              <w:bidi/>
              <w:jc w:val="center"/>
              <w:rPr>
                <w:rtl/>
                <w:lang w:val="fr-MA" w:bidi="ar-MA"/>
              </w:rPr>
            </w:pPr>
            <w:r w:rsidRPr="00282E82">
              <w:rPr>
                <w:lang w:val="fr-MA"/>
              </w:rPr>
              <w:t>2300.22</w:t>
            </w:r>
            <w:r w:rsidRPr="00282E82">
              <w:rPr>
                <w:rtl/>
                <w:lang w:val="fr-MA"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7BC5F15C" w14:textId="77777777" w:rsidR="000D46E0" w:rsidRPr="00282E82" w:rsidRDefault="000D46E0" w:rsidP="000D46E0">
            <w:pPr>
              <w:bidi/>
              <w:jc w:val="center"/>
              <w:rPr>
                <w:rtl/>
                <w:lang w:bidi="ar-MA"/>
              </w:rPr>
            </w:pPr>
            <w:r w:rsidRPr="00282E82">
              <w:t>2300.22</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tcPr>
          <w:p w14:paraId="73C9557F" w14:textId="77777777" w:rsidR="000D46E0" w:rsidRPr="00282E82" w:rsidRDefault="000D46E0" w:rsidP="000D46E0">
            <w:pPr>
              <w:bidi/>
              <w:jc w:val="center"/>
            </w:pPr>
            <w:r w:rsidRPr="00282E82">
              <w:t>2418.00</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tcPr>
          <w:p w14:paraId="0DE1EBBD" w14:textId="77777777" w:rsidR="000D46E0" w:rsidRPr="00282E82" w:rsidRDefault="000D46E0" w:rsidP="000D46E0">
            <w:pPr>
              <w:bidi/>
              <w:jc w:val="center"/>
            </w:pPr>
            <w:r w:rsidRPr="00282E82">
              <w:t>2538.9</w:t>
            </w:r>
            <w:r w:rsidRPr="00282E82">
              <w:rPr>
                <w:rtl/>
                <w:lang w:bidi="ar-MA"/>
              </w:rPr>
              <w:t>د</w:t>
            </w:r>
          </w:p>
        </w:tc>
        <w:tc>
          <w:tcPr>
            <w:tcW w:w="1072" w:type="dxa"/>
            <w:tcBorders>
              <w:top w:val="single" w:sz="4" w:space="0" w:color="auto"/>
              <w:left w:val="single" w:sz="4" w:space="0" w:color="auto"/>
              <w:bottom w:val="single" w:sz="4" w:space="0" w:color="auto"/>
              <w:right w:val="single" w:sz="4" w:space="0" w:color="auto"/>
            </w:tcBorders>
            <w:hideMark/>
          </w:tcPr>
          <w:p w14:paraId="2F1D7C37" w14:textId="77777777" w:rsidR="000D46E0" w:rsidRPr="00282E82" w:rsidRDefault="000D46E0" w:rsidP="000D46E0">
            <w:pPr>
              <w:bidi/>
              <w:jc w:val="center"/>
              <w:rPr>
                <w:rtl/>
                <w:lang w:bidi="ar-MA"/>
              </w:rPr>
            </w:pPr>
            <w:r w:rsidRPr="00282E82">
              <w:t>2792.4</w:t>
            </w:r>
            <w:r w:rsidRPr="00282E82">
              <w:rPr>
                <w:rtl/>
                <w:lang w:bidi="ar-MA"/>
              </w:rPr>
              <w:t>د</w:t>
            </w:r>
          </w:p>
        </w:tc>
        <w:tc>
          <w:tcPr>
            <w:tcW w:w="1015" w:type="dxa"/>
            <w:tcBorders>
              <w:top w:val="single" w:sz="4" w:space="0" w:color="auto"/>
              <w:left w:val="single" w:sz="4" w:space="0" w:color="auto"/>
              <w:bottom w:val="single" w:sz="4" w:space="0" w:color="auto"/>
              <w:right w:val="single" w:sz="4" w:space="0" w:color="auto"/>
            </w:tcBorders>
            <w:hideMark/>
          </w:tcPr>
          <w:p w14:paraId="1933198F" w14:textId="77777777" w:rsidR="000D46E0" w:rsidRPr="00282E82" w:rsidRDefault="000D46E0" w:rsidP="000D46E0">
            <w:pPr>
              <w:bidi/>
              <w:jc w:val="center"/>
              <w:rPr>
                <w:rtl/>
                <w:lang w:bidi="ar-MA"/>
              </w:rPr>
            </w:pPr>
            <w:r w:rsidRPr="00282E82">
              <w:t>3071.64</w:t>
            </w:r>
            <w:r w:rsidRPr="00282E82">
              <w:rPr>
                <w:rtl/>
                <w:lang w:bidi="ar-MA"/>
              </w:rPr>
              <w:t>د</w:t>
            </w:r>
          </w:p>
        </w:tc>
        <w:tc>
          <w:tcPr>
            <w:tcW w:w="985" w:type="dxa"/>
            <w:tcBorders>
              <w:top w:val="single" w:sz="4" w:space="0" w:color="auto"/>
              <w:left w:val="single" w:sz="4" w:space="0" w:color="auto"/>
              <w:bottom w:val="single" w:sz="4" w:space="0" w:color="auto"/>
              <w:right w:val="single" w:sz="4" w:space="0" w:color="auto"/>
            </w:tcBorders>
            <w:hideMark/>
          </w:tcPr>
          <w:p w14:paraId="586832AD" w14:textId="77777777" w:rsidR="000D46E0" w:rsidRPr="00282E82" w:rsidRDefault="000D46E0" w:rsidP="000D46E0">
            <w:pPr>
              <w:bidi/>
              <w:jc w:val="center"/>
              <w:rPr>
                <w:rtl/>
                <w:lang w:bidi="ar-MA"/>
              </w:rPr>
            </w:pPr>
            <w:r w:rsidRPr="00282E82">
              <w:t>3424.2</w:t>
            </w:r>
            <w:r w:rsidRPr="00282E82">
              <w:rPr>
                <w:rtl/>
                <w:lang w:bidi="ar-MA"/>
              </w:rPr>
              <w:t>د</w:t>
            </w:r>
          </w:p>
        </w:tc>
      </w:tr>
      <w:tr w:rsidR="000D46E0" w14:paraId="34296CCA" w14:textId="77777777" w:rsidTr="000D46E0">
        <w:tc>
          <w:tcPr>
            <w:tcW w:w="1110" w:type="dxa"/>
            <w:tcBorders>
              <w:top w:val="single" w:sz="4" w:space="0" w:color="auto"/>
              <w:left w:val="single" w:sz="4" w:space="0" w:color="auto"/>
              <w:bottom w:val="single" w:sz="4" w:space="0" w:color="auto"/>
              <w:right w:val="single" w:sz="4" w:space="0" w:color="auto"/>
            </w:tcBorders>
            <w:hideMark/>
          </w:tcPr>
          <w:p w14:paraId="626812EC" w14:textId="77777777" w:rsidR="000D46E0" w:rsidRPr="00282E82" w:rsidRDefault="000D46E0" w:rsidP="000D46E0">
            <w:pPr>
              <w:bidi/>
              <w:jc w:val="center"/>
              <w:rPr>
                <w:rtl/>
                <w:lang w:val="fr-MA" w:bidi="ar-MA"/>
              </w:rPr>
            </w:pPr>
            <w:r w:rsidRPr="00282E82">
              <w:rPr>
                <w:rtl/>
                <w:lang w:bidi="ar-MA"/>
              </w:rPr>
              <w:t>سماك</w:t>
            </w:r>
            <w:r w:rsidRPr="00282E82">
              <w:rPr>
                <w:lang w:bidi="ar-MA"/>
              </w:rPr>
              <w:t>/</w:t>
            </w:r>
            <w:r w:rsidRPr="00282E82">
              <w:rPr>
                <w:rtl/>
                <w:lang w:bidi="ar-MA"/>
              </w:rPr>
              <w:t>سميك</w:t>
            </w:r>
          </w:p>
        </w:tc>
        <w:tc>
          <w:tcPr>
            <w:tcW w:w="1044" w:type="dxa"/>
            <w:tcBorders>
              <w:top w:val="single" w:sz="4" w:space="0" w:color="auto"/>
              <w:left w:val="single" w:sz="4" w:space="0" w:color="auto"/>
              <w:bottom w:val="single" w:sz="4" w:space="0" w:color="auto"/>
              <w:right w:val="single" w:sz="4" w:space="0" w:color="auto"/>
            </w:tcBorders>
            <w:hideMark/>
          </w:tcPr>
          <w:p w14:paraId="4DAAC997" w14:textId="77777777" w:rsidR="000D46E0" w:rsidRPr="00282E82" w:rsidRDefault="000D46E0" w:rsidP="000D46E0">
            <w:pPr>
              <w:bidi/>
              <w:jc w:val="center"/>
              <w:rPr>
                <w:rtl/>
                <w:lang w:val="fr-MA"/>
              </w:rPr>
            </w:pPr>
            <w:r w:rsidRPr="00282E82">
              <w:rPr>
                <w:lang w:val="fr-MA"/>
              </w:rPr>
              <w:t>0.7053</w:t>
            </w:r>
          </w:p>
        </w:tc>
        <w:tc>
          <w:tcPr>
            <w:tcW w:w="1148" w:type="dxa"/>
            <w:tcBorders>
              <w:top w:val="single" w:sz="4" w:space="0" w:color="auto"/>
              <w:left w:val="single" w:sz="4" w:space="0" w:color="auto"/>
              <w:bottom w:val="single" w:sz="4" w:space="0" w:color="auto"/>
              <w:right w:val="single" w:sz="4" w:space="0" w:color="auto"/>
            </w:tcBorders>
            <w:hideMark/>
          </w:tcPr>
          <w:p w14:paraId="2C04883D" w14:textId="77777777" w:rsidR="000D46E0" w:rsidRPr="00282E82" w:rsidRDefault="000D46E0" w:rsidP="000D46E0">
            <w:pPr>
              <w:bidi/>
              <w:jc w:val="center"/>
              <w:rPr>
                <w:lang w:val="fr-MA"/>
              </w:rPr>
            </w:pPr>
            <w:r w:rsidRPr="00282E82">
              <w:rPr>
                <w:lang w:val="fr-MA"/>
              </w:rPr>
              <w:t>0.7389</w:t>
            </w:r>
          </w:p>
        </w:tc>
        <w:tc>
          <w:tcPr>
            <w:tcW w:w="1172" w:type="dxa"/>
            <w:tcBorders>
              <w:top w:val="single" w:sz="4" w:space="0" w:color="auto"/>
              <w:left w:val="single" w:sz="4" w:space="0" w:color="auto"/>
              <w:bottom w:val="single" w:sz="4" w:space="0" w:color="auto"/>
              <w:right w:val="single" w:sz="4" w:space="0" w:color="auto"/>
            </w:tcBorders>
            <w:hideMark/>
          </w:tcPr>
          <w:p w14:paraId="44EB5298" w14:textId="77777777" w:rsidR="000D46E0" w:rsidRPr="00282E82" w:rsidRDefault="000D46E0" w:rsidP="000D46E0">
            <w:pPr>
              <w:bidi/>
              <w:jc w:val="center"/>
            </w:pPr>
            <w:r w:rsidRPr="00282E82">
              <w:t>0.7406</w:t>
            </w:r>
          </w:p>
        </w:tc>
        <w:tc>
          <w:tcPr>
            <w:tcW w:w="1015" w:type="dxa"/>
            <w:tcBorders>
              <w:top w:val="single" w:sz="4" w:space="0" w:color="auto"/>
              <w:left w:val="single" w:sz="4" w:space="0" w:color="auto"/>
              <w:bottom w:val="single" w:sz="4" w:space="0" w:color="auto"/>
              <w:right w:val="single" w:sz="4" w:space="0" w:color="auto"/>
            </w:tcBorders>
            <w:hideMark/>
          </w:tcPr>
          <w:p w14:paraId="12CC612C" w14:textId="77777777" w:rsidR="000D46E0" w:rsidRPr="00282E82" w:rsidRDefault="000D46E0" w:rsidP="000D46E0">
            <w:pPr>
              <w:bidi/>
              <w:jc w:val="center"/>
              <w:rPr>
                <w:rtl/>
              </w:rPr>
            </w:pPr>
            <w:r w:rsidRPr="00282E82">
              <w:t>0.7406</w:t>
            </w:r>
          </w:p>
        </w:tc>
        <w:tc>
          <w:tcPr>
            <w:tcW w:w="1015" w:type="dxa"/>
            <w:tcBorders>
              <w:top w:val="single" w:sz="4" w:space="0" w:color="auto"/>
              <w:left w:val="single" w:sz="4" w:space="0" w:color="auto"/>
              <w:bottom w:val="single" w:sz="4" w:space="0" w:color="auto"/>
              <w:right w:val="single" w:sz="4" w:space="0" w:color="auto"/>
            </w:tcBorders>
            <w:hideMark/>
          </w:tcPr>
          <w:p w14:paraId="45B88131" w14:textId="77777777" w:rsidR="000D46E0" w:rsidRPr="00282E82" w:rsidRDefault="000D46E0" w:rsidP="000D46E0">
            <w:pPr>
              <w:bidi/>
              <w:jc w:val="center"/>
              <w:rPr>
                <w:rtl/>
                <w:lang w:val="fr-MA"/>
              </w:rPr>
            </w:pPr>
            <w:r w:rsidRPr="00282E82">
              <w:rPr>
                <w:lang w:val="fr-MA"/>
              </w:rPr>
              <w:t>0.7053</w:t>
            </w:r>
          </w:p>
        </w:tc>
        <w:tc>
          <w:tcPr>
            <w:tcW w:w="1015" w:type="dxa"/>
            <w:tcBorders>
              <w:top w:val="single" w:sz="4" w:space="0" w:color="auto"/>
              <w:left w:val="single" w:sz="4" w:space="0" w:color="auto"/>
              <w:bottom w:val="single" w:sz="4" w:space="0" w:color="auto"/>
              <w:right w:val="single" w:sz="4" w:space="0" w:color="auto"/>
            </w:tcBorders>
          </w:tcPr>
          <w:p w14:paraId="52411515" w14:textId="77777777" w:rsidR="000D46E0" w:rsidRPr="00282E82" w:rsidRDefault="000D46E0" w:rsidP="000D46E0">
            <w:pPr>
              <w:bidi/>
              <w:jc w:val="center"/>
              <w:rPr>
                <w:lang w:val="fr-MA"/>
              </w:rPr>
            </w:pPr>
            <w:r w:rsidRPr="00282E82">
              <w:rPr>
                <w:lang w:val="fr-MA"/>
              </w:rPr>
              <w:t>0.7414</w:t>
            </w:r>
          </w:p>
        </w:tc>
        <w:tc>
          <w:tcPr>
            <w:tcW w:w="1015" w:type="dxa"/>
            <w:tcBorders>
              <w:top w:val="single" w:sz="4" w:space="0" w:color="auto"/>
              <w:left w:val="single" w:sz="4" w:space="0" w:color="auto"/>
              <w:bottom w:val="single" w:sz="4" w:space="0" w:color="auto"/>
              <w:right w:val="single" w:sz="4" w:space="0" w:color="auto"/>
            </w:tcBorders>
          </w:tcPr>
          <w:p w14:paraId="25D2B021" w14:textId="77777777" w:rsidR="000D46E0" w:rsidRPr="00282E82" w:rsidRDefault="000D46E0" w:rsidP="000D46E0">
            <w:pPr>
              <w:bidi/>
              <w:jc w:val="center"/>
              <w:rPr>
                <w:lang w:val="fr-MA"/>
              </w:rPr>
            </w:pPr>
            <w:r w:rsidRPr="00282E82">
              <w:rPr>
                <w:lang w:val="fr-MA"/>
              </w:rPr>
              <w:t>0.7785</w:t>
            </w:r>
          </w:p>
        </w:tc>
        <w:tc>
          <w:tcPr>
            <w:tcW w:w="1072" w:type="dxa"/>
            <w:tcBorders>
              <w:top w:val="single" w:sz="4" w:space="0" w:color="auto"/>
              <w:left w:val="single" w:sz="4" w:space="0" w:color="auto"/>
              <w:bottom w:val="single" w:sz="4" w:space="0" w:color="auto"/>
              <w:right w:val="single" w:sz="4" w:space="0" w:color="auto"/>
            </w:tcBorders>
            <w:hideMark/>
          </w:tcPr>
          <w:p w14:paraId="1EBBB23D" w14:textId="77777777" w:rsidR="000D46E0" w:rsidRPr="00282E82" w:rsidRDefault="000D46E0" w:rsidP="000D46E0">
            <w:pPr>
              <w:bidi/>
              <w:jc w:val="center"/>
              <w:rPr>
                <w:lang w:val="fr-MA"/>
              </w:rPr>
            </w:pPr>
            <w:r w:rsidRPr="00282E82">
              <w:rPr>
                <w:lang w:val="fr-MA"/>
              </w:rPr>
              <w:t>0.8155</w:t>
            </w:r>
          </w:p>
        </w:tc>
        <w:tc>
          <w:tcPr>
            <w:tcW w:w="1015" w:type="dxa"/>
            <w:tcBorders>
              <w:top w:val="single" w:sz="4" w:space="0" w:color="auto"/>
              <w:left w:val="single" w:sz="4" w:space="0" w:color="auto"/>
              <w:bottom w:val="single" w:sz="4" w:space="0" w:color="auto"/>
              <w:right w:val="single" w:sz="4" w:space="0" w:color="auto"/>
            </w:tcBorders>
            <w:hideMark/>
          </w:tcPr>
          <w:p w14:paraId="21B1963E" w14:textId="77777777" w:rsidR="000D46E0" w:rsidRPr="00282E82" w:rsidRDefault="000D46E0" w:rsidP="000D46E0">
            <w:pPr>
              <w:bidi/>
              <w:jc w:val="center"/>
            </w:pPr>
            <w:r w:rsidRPr="00282E82">
              <w:t>0.8960</w:t>
            </w:r>
          </w:p>
        </w:tc>
        <w:tc>
          <w:tcPr>
            <w:tcW w:w="985" w:type="dxa"/>
            <w:tcBorders>
              <w:top w:val="single" w:sz="4" w:space="0" w:color="auto"/>
              <w:left w:val="single" w:sz="4" w:space="0" w:color="auto"/>
              <w:bottom w:val="single" w:sz="4" w:space="0" w:color="auto"/>
              <w:right w:val="single" w:sz="4" w:space="0" w:color="auto"/>
            </w:tcBorders>
            <w:hideMark/>
          </w:tcPr>
          <w:p w14:paraId="34DD9853" w14:textId="77777777" w:rsidR="000D46E0" w:rsidRPr="00282E82" w:rsidRDefault="000D46E0" w:rsidP="000D46E0">
            <w:pPr>
              <w:bidi/>
              <w:jc w:val="center"/>
              <w:rPr>
                <w:rtl/>
              </w:rPr>
            </w:pPr>
            <w:r w:rsidRPr="00282E82">
              <w:t>1.00</w:t>
            </w:r>
          </w:p>
        </w:tc>
      </w:tr>
      <w:tr w:rsidR="000D46E0" w14:paraId="2D9A818A" w14:textId="77777777" w:rsidTr="000D46E0">
        <w:trPr>
          <w:trHeight w:val="873"/>
        </w:trPr>
        <w:tc>
          <w:tcPr>
            <w:tcW w:w="1110" w:type="dxa"/>
            <w:tcBorders>
              <w:top w:val="single" w:sz="4" w:space="0" w:color="auto"/>
              <w:left w:val="single" w:sz="4" w:space="0" w:color="auto"/>
              <w:bottom w:val="single" w:sz="4" w:space="0" w:color="auto"/>
              <w:right w:val="single" w:sz="4" w:space="0" w:color="auto"/>
            </w:tcBorders>
            <w:hideMark/>
          </w:tcPr>
          <w:p w14:paraId="343F438C" w14:textId="77777777" w:rsidR="000D46E0" w:rsidRPr="00282E82" w:rsidRDefault="000D46E0" w:rsidP="000D46E0">
            <w:pPr>
              <w:bidi/>
              <w:jc w:val="center"/>
              <w:rPr>
                <w:rtl/>
              </w:rPr>
            </w:pPr>
            <w:r w:rsidRPr="00282E82">
              <w:rPr>
                <w:rtl/>
              </w:rPr>
              <w:t>الفرق بين سماك وسميك بالنسبة المئوية</w:t>
            </w:r>
          </w:p>
        </w:tc>
        <w:tc>
          <w:tcPr>
            <w:tcW w:w="1044" w:type="dxa"/>
            <w:tcBorders>
              <w:top w:val="single" w:sz="4" w:space="0" w:color="auto"/>
              <w:left w:val="single" w:sz="4" w:space="0" w:color="auto"/>
              <w:bottom w:val="single" w:sz="4" w:space="0" w:color="auto"/>
              <w:right w:val="single" w:sz="4" w:space="0" w:color="auto"/>
            </w:tcBorders>
            <w:hideMark/>
          </w:tcPr>
          <w:p w14:paraId="7A0F143E" w14:textId="77777777" w:rsidR="000D46E0" w:rsidRPr="00282E82" w:rsidRDefault="000D46E0" w:rsidP="000D46E0">
            <w:pPr>
              <w:bidi/>
              <w:jc w:val="center"/>
              <w:rPr>
                <w:rtl/>
              </w:rPr>
            </w:pPr>
            <w:r w:rsidRPr="00282E82">
              <w:t>29.47%</w:t>
            </w:r>
          </w:p>
        </w:tc>
        <w:tc>
          <w:tcPr>
            <w:tcW w:w="1148" w:type="dxa"/>
            <w:tcBorders>
              <w:top w:val="single" w:sz="4" w:space="0" w:color="auto"/>
              <w:left w:val="single" w:sz="4" w:space="0" w:color="auto"/>
              <w:bottom w:val="single" w:sz="4" w:space="0" w:color="auto"/>
              <w:right w:val="single" w:sz="4" w:space="0" w:color="auto"/>
            </w:tcBorders>
            <w:hideMark/>
          </w:tcPr>
          <w:p w14:paraId="2F888C2E" w14:textId="77777777" w:rsidR="000D46E0" w:rsidRPr="00282E82" w:rsidRDefault="000D46E0" w:rsidP="000D46E0">
            <w:pPr>
              <w:bidi/>
              <w:jc w:val="center"/>
              <w:rPr>
                <w:rtl/>
              </w:rPr>
            </w:pPr>
            <w:r w:rsidRPr="00282E82">
              <w:t>26.11%</w:t>
            </w:r>
          </w:p>
        </w:tc>
        <w:tc>
          <w:tcPr>
            <w:tcW w:w="1172" w:type="dxa"/>
            <w:tcBorders>
              <w:top w:val="single" w:sz="4" w:space="0" w:color="auto"/>
              <w:left w:val="single" w:sz="4" w:space="0" w:color="auto"/>
              <w:bottom w:val="single" w:sz="4" w:space="0" w:color="auto"/>
              <w:right w:val="single" w:sz="4" w:space="0" w:color="auto"/>
            </w:tcBorders>
            <w:hideMark/>
          </w:tcPr>
          <w:p w14:paraId="24768BB7" w14:textId="77777777" w:rsidR="000D46E0" w:rsidRPr="00282E82" w:rsidRDefault="000D46E0" w:rsidP="000D46E0">
            <w:pPr>
              <w:bidi/>
              <w:jc w:val="center"/>
              <w:rPr>
                <w:rtl/>
              </w:rPr>
            </w:pPr>
            <w:r w:rsidRPr="00282E82">
              <w:t>25.94%</w:t>
            </w:r>
          </w:p>
        </w:tc>
        <w:tc>
          <w:tcPr>
            <w:tcW w:w="1015" w:type="dxa"/>
            <w:tcBorders>
              <w:top w:val="single" w:sz="4" w:space="0" w:color="auto"/>
              <w:left w:val="single" w:sz="4" w:space="0" w:color="auto"/>
              <w:bottom w:val="single" w:sz="4" w:space="0" w:color="auto"/>
              <w:right w:val="single" w:sz="4" w:space="0" w:color="auto"/>
            </w:tcBorders>
            <w:hideMark/>
          </w:tcPr>
          <w:p w14:paraId="72DABE80" w14:textId="77777777" w:rsidR="000D46E0" w:rsidRPr="00282E82" w:rsidRDefault="000D46E0" w:rsidP="000D46E0">
            <w:pPr>
              <w:bidi/>
              <w:jc w:val="center"/>
              <w:rPr>
                <w:rtl/>
              </w:rPr>
            </w:pPr>
            <w:r w:rsidRPr="00282E82">
              <w:t>25.94%</w:t>
            </w:r>
          </w:p>
        </w:tc>
        <w:tc>
          <w:tcPr>
            <w:tcW w:w="1015" w:type="dxa"/>
            <w:tcBorders>
              <w:top w:val="single" w:sz="4" w:space="0" w:color="auto"/>
              <w:left w:val="single" w:sz="4" w:space="0" w:color="auto"/>
              <w:bottom w:val="single" w:sz="4" w:space="0" w:color="auto"/>
              <w:right w:val="single" w:sz="4" w:space="0" w:color="auto"/>
            </w:tcBorders>
            <w:hideMark/>
          </w:tcPr>
          <w:p w14:paraId="4CCB183B" w14:textId="77777777" w:rsidR="000D46E0" w:rsidRPr="00282E82" w:rsidRDefault="000D46E0" w:rsidP="000D46E0">
            <w:pPr>
              <w:bidi/>
              <w:jc w:val="center"/>
              <w:rPr>
                <w:rtl/>
              </w:rPr>
            </w:pPr>
            <w:r w:rsidRPr="00282E82">
              <w:t>29.47%</w:t>
            </w:r>
          </w:p>
        </w:tc>
        <w:tc>
          <w:tcPr>
            <w:tcW w:w="1015" w:type="dxa"/>
            <w:tcBorders>
              <w:top w:val="single" w:sz="4" w:space="0" w:color="auto"/>
              <w:left w:val="single" w:sz="4" w:space="0" w:color="auto"/>
              <w:bottom w:val="single" w:sz="4" w:space="0" w:color="auto"/>
              <w:right w:val="single" w:sz="4" w:space="0" w:color="auto"/>
            </w:tcBorders>
          </w:tcPr>
          <w:p w14:paraId="266D6048" w14:textId="77777777" w:rsidR="000D46E0" w:rsidRPr="00FA2897" w:rsidRDefault="000D46E0" w:rsidP="000D46E0">
            <w:pPr>
              <w:bidi/>
              <w:jc w:val="center"/>
              <w:rPr>
                <w:rFonts w:ascii="Times New Roman" w:hAnsi="Times New Roman"/>
              </w:rPr>
            </w:pPr>
            <w:r w:rsidRPr="00282E82">
              <w:t>25.86%</w:t>
            </w:r>
          </w:p>
        </w:tc>
        <w:tc>
          <w:tcPr>
            <w:tcW w:w="1015" w:type="dxa"/>
            <w:tcBorders>
              <w:top w:val="single" w:sz="4" w:space="0" w:color="auto"/>
              <w:left w:val="single" w:sz="4" w:space="0" w:color="auto"/>
              <w:bottom w:val="single" w:sz="4" w:space="0" w:color="auto"/>
              <w:right w:val="single" w:sz="4" w:space="0" w:color="auto"/>
            </w:tcBorders>
          </w:tcPr>
          <w:p w14:paraId="4D13839F" w14:textId="77777777" w:rsidR="000D46E0" w:rsidRPr="00282E82" w:rsidRDefault="000D46E0" w:rsidP="000D46E0">
            <w:pPr>
              <w:bidi/>
              <w:jc w:val="center"/>
            </w:pPr>
            <w:r w:rsidRPr="00282E82">
              <w:t>22.15%</w:t>
            </w:r>
          </w:p>
        </w:tc>
        <w:tc>
          <w:tcPr>
            <w:tcW w:w="1072" w:type="dxa"/>
            <w:tcBorders>
              <w:top w:val="single" w:sz="4" w:space="0" w:color="auto"/>
              <w:left w:val="single" w:sz="4" w:space="0" w:color="auto"/>
              <w:bottom w:val="single" w:sz="4" w:space="0" w:color="auto"/>
              <w:right w:val="single" w:sz="4" w:space="0" w:color="auto"/>
            </w:tcBorders>
            <w:hideMark/>
          </w:tcPr>
          <w:p w14:paraId="00AD3FF6" w14:textId="77777777" w:rsidR="000D46E0" w:rsidRPr="00282E82" w:rsidRDefault="000D46E0" w:rsidP="000D46E0">
            <w:pPr>
              <w:bidi/>
              <w:jc w:val="center"/>
              <w:rPr>
                <w:rtl/>
              </w:rPr>
            </w:pPr>
            <w:r w:rsidRPr="00282E82">
              <w:t>18.45%</w:t>
            </w:r>
          </w:p>
        </w:tc>
        <w:tc>
          <w:tcPr>
            <w:tcW w:w="1015" w:type="dxa"/>
            <w:tcBorders>
              <w:top w:val="single" w:sz="4" w:space="0" w:color="auto"/>
              <w:left w:val="single" w:sz="4" w:space="0" w:color="auto"/>
              <w:bottom w:val="single" w:sz="4" w:space="0" w:color="auto"/>
              <w:right w:val="single" w:sz="4" w:space="0" w:color="auto"/>
            </w:tcBorders>
            <w:hideMark/>
          </w:tcPr>
          <w:p w14:paraId="117B61A3" w14:textId="77777777" w:rsidR="000D46E0" w:rsidRPr="00282E82" w:rsidRDefault="000D46E0" w:rsidP="000D46E0">
            <w:pPr>
              <w:bidi/>
              <w:jc w:val="center"/>
              <w:rPr>
                <w:rtl/>
              </w:rPr>
            </w:pPr>
            <w:r w:rsidRPr="00282E82">
              <w:t>10.40%</w:t>
            </w:r>
          </w:p>
        </w:tc>
        <w:tc>
          <w:tcPr>
            <w:tcW w:w="985" w:type="dxa"/>
            <w:tcBorders>
              <w:top w:val="single" w:sz="4" w:space="0" w:color="auto"/>
              <w:left w:val="single" w:sz="4" w:space="0" w:color="auto"/>
              <w:bottom w:val="single" w:sz="4" w:space="0" w:color="auto"/>
              <w:right w:val="single" w:sz="4" w:space="0" w:color="auto"/>
            </w:tcBorders>
            <w:hideMark/>
          </w:tcPr>
          <w:p w14:paraId="455D7691" w14:textId="77777777" w:rsidR="000D46E0" w:rsidRPr="00282E82" w:rsidRDefault="000D46E0" w:rsidP="000D46E0">
            <w:pPr>
              <w:bidi/>
              <w:jc w:val="center"/>
              <w:rPr>
                <w:rtl/>
              </w:rPr>
            </w:pPr>
            <w:r w:rsidRPr="00282E82">
              <w:t>0%</w:t>
            </w:r>
          </w:p>
        </w:tc>
      </w:tr>
    </w:tbl>
    <w:p w14:paraId="1F5B755C" w14:textId="77777777" w:rsidR="000D46E0" w:rsidRPr="000D46E0" w:rsidRDefault="000D46E0" w:rsidP="000D46E0">
      <w:pPr>
        <w:bidi/>
        <w:ind w:left="360"/>
        <w:jc w:val="both"/>
        <w:rPr>
          <w:sz w:val="28"/>
          <w:szCs w:val="28"/>
          <w:rtl/>
          <w:lang w:val="fr-MA" w:bidi="ar-MA"/>
        </w:rPr>
      </w:pPr>
      <w:r w:rsidRPr="000D46E0">
        <w:rPr>
          <w:sz w:val="28"/>
          <w:szCs w:val="28"/>
          <w:lang w:val="fr-MA" w:bidi="ar-MA"/>
        </w:rPr>
        <w:t>*</w:t>
      </w:r>
      <w:r w:rsidRPr="000D46E0">
        <w:rPr>
          <w:sz w:val="28"/>
          <w:szCs w:val="28"/>
          <w:lang w:bidi="ar-MA"/>
        </w:rPr>
        <w:t>)</w:t>
      </w:r>
      <w:r w:rsidRPr="000D46E0">
        <w:rPr>
          <w:sz w:val="28"/>
          <w:szCs w:val="28"/>
          <w:rtl/>
          <w:lang w:bidi="ar-MA"/>
        </w:rPr>
        <w:t xml:space="preserve">) سميك اليومي هو السميك في الساعة مضروب في </w:t>
      </w:r>
      <w:r w:rsidRPr="000D46E0">
        <w:rPr>
          <w:sz w:val="28"/>
          <w:szCs w:val="28"/>
          <w:lang w:val="fr-MA" w:bidi="ar-MA"/>
        </w:rPr>
        <w:t>7h20min </w:t>
      </w:r>
      <w:r w:rsidRPr="000D46E0">
        <w:rPr>
          <w:sz w:val="28"/>
          <w:szCs w:val="28"/>
          <w:rtl/>
          <w:lang w:val="fr-MA" w:bidi="ar-MA"/>
        </w:rPr>
        <w:t>.</w:t>
      </w:r>
    </w:p>
    <w:p w14:paraId="12B21AC0" w14:textId="77777777" w:rsidR="000D46E0" w:rsidRPr="000D46E0" w:rsidRDefault="000D46E0" w:rsidP="000D46E0">
      <w:pPr>
        <w:bidi/>
        <w:ind w:left="360"/>
        <w:jc w:val="both"/>
        <w:rPr>
          <w:sz w:val="28"/>
          <w:szCs w:val="28"/>
          <w:rtl/>
          <w:lang w:bidi="ar-MA"/>
        </w:rPr>
      </w:pPr>
      <w:r w:rsidRPr="000D46E0">
        <w:rPr>
          <w:sz w:val="28"/>
          <w:szCs w:val="28"/>
          <w:lang w:bidi="ar-MA"/>
        </w:rPr>
        <w:t xml:space="preserve"> (</w:t>
      </w:r>
      <w:r w:rsidRPr="000D46E0">
        <w:rPr>
          <w:sz w:val="28"/>
          <w:szCs w:val="28"/>
          <w:lang w:val="fr-MA" w:bidi="ar-MA"/>
        </w:rPr>
        <w:t>**</w:t>
      </w:r>
      <w:r w:rsidRPr="000D46E0">
        <w:rPr>
          <w:sz w:val="28"/>
          <w:szCs w:val="28"/>
          <w:lang w:bidi="ar-MA"/>
        </w:rPr>
        <w:t xml:space="preserve">) </w:t>
      </w:r>
      <w:r w:rsidRPr="000D46E0">
        <w:rPr>
          <w:rFonts w:hint="cs"/>
          <w:sz w:val="28"/>
          <w:szCs w:val="28"/>
          <w:rtl/>
          <w:lang w:bidi="ar-MA"/>
        </w:rPr>
        <w:t>ط</w:t>
      </w:r>
      <w:r w:rsidRPr="000D46E0">
        <w:rPr>
          <w:sz w:val="28"/>
          <w:szCs w:val="28"/>
          <w:rtl/>
          <w:lang w:bidi="ar-MA"/>
        </w:rPr>
        <w:t>بعا ونظرا لارتفاع الأثمان سيتم بعد 2026 إقرار زيادة أو زيادتين في الحد الأدنى للأجور الصناعي (سميك) بنسبة محددة وهذه النسبة يجب إضافتها للحد الأدنى الفلاحي (سماك) من أجل الحفاظ في أفق 2028 على الوحدة بين الحدين للأجور.</w:t>
      </w:r>
    </w:p>
    <w:p w14:paraId="55B8E06F" w14:textId="668F4032" w:rsidR="000D46E0" w:rsidRPr="000D46E0" w:rsidRDefault="000D46E0" w:rsidP="000D46E0">
      <w:pPr>
        <w:bidi/>
        <w:ind w:left="360"/>
        <w:jc w:val="both"/>
        <w:rPr>
          <w:sz w:val="28"/>
          <w:szCs w:val="28"/>
          <w:u w:val="single"/>
          <w:rtl/>
        </w:rPr>
      </w:pPr>
      <w:r w:rsidRPr="000D46E0">
        <w:rPr>
          <w:sz w:val="28"/>
          <w:szCs w:val="28"/>
          <w:rtl/>
        </w:rPr>
        <w:t xml:space="preserve">وبهذه المناسبة؛ ومن أجل حماية هذا الاتفاق من محاولات طمسه أو تعليقه إلى أجل غير مسمى بهذه الذريعة أو تلك، </w:t>
      </w:r>
      <w:r w:rsidRPr="000D46E0">
        <w:rPr>
          <w:sz w:val="28"/>
          <w:szCs w:val="28"/>
          <w:u w:val="single"/>
          <w:rtl/>
        </w:rPr>
        <w:t xml:space="preserve">فإننا نجدد التأكيد على ضرورة إصدار مرسوم شامل يحصن الإتفاق ويدقق شكليات تنفيذه وفق مضامين الجدول المشار إليه أعلاه. </w:t>
      </w:r>
    </w:p>
    <w:p w14:paraId="44597F28" w14:textId="77777777" w:rsidR="000D46E0" w:rsidRDefault="000D46E0" w:rsidP="000D46E0">
      <w:pPr>
        <w:bidi/>
        <w:ind w:left="360"/>
        <w:jc w:val="center"/>
        <w:rPr>
          <w:b/>
          <w:bCs/>
          <w:sz w:val="32"/>
          <w:szCs w:val="32"/>
          <w:rtl/>
        </w:rPr>
      </w:pPr>
      <w:r>
        <w:rPr>
          <w:rFonts w:hint="cs"/>
          <w:b/>
          <w:bCs/>
          <w:sz w:val="32"/>
          <w:szCs w:val="32"/>
          <w:rtl/>
        </w:rPr>
        <w:t>عن المكتب الجامعي</w:t>
      </w:r>
    </w:p>
    <w:p w14:paraId="5489DA4E" w14:textId="20BC99B7" w:rsidR="00434F9E" w:rsidRPr="000D46E0" w:rsidRDefault="000D46E0" w:rsidP="000D46E0">
      <w:pPr>
        <w:bidi/>
        <w:ind w:left="360"/>
        <w:jc w:val="center"/>
        <w:rPr>
          <w:b/>
          <w:bCs/>
          <w:sz w:val="32"/>
          <w:szCs w:val="32"/>
          <w:rtl/>
          <w:lang w:bidi="ar-MA"/>
        </w:rPr>
      </w:pPr>
      <w:r>
        <w:rPr>
          <w:rFonts w:hint="cs"/>
          <w:b/>
          <w:bCs/>
          <w:sz w:val="32"/>
          <w:szCs w:val="32"/>
          <w:rtl/>
        </w:rPr>
        <w:t>الكاتب العام: بدر</w:t>
      </w:r>
      <w:r>
        <w:rPr>
          <w:b/>
          <w:bCs/>
          <w:sz w:val="32"/>
          <w:szCs w:val="32"/>
        </w:rPr>
        <w:t xml:space="preserve"> </w:t>
      </w:r>
      <w:r>
        <w:rPr>
          <w:rFonts w:hint="cs"/>
          <w:b/>
          <w:bCs/>
          <w:sz w:val="32"/>
          <w:szCs w:val="32"/>
          <w:rtl/>
          <w:lang w:bidi="ar-MA"/>
        </w:rPr>
        <w:t>عريش</w:t>
      </w:r>
    </w:p>
    <w:sectPr w:rsidR="00434F9E" w:rsidRPr="000D46E0" w:rsidSect="000D46E0">
      <w:footerReference w:type="default" r:id="rId9"/>
      <w:pgSz w:w="11906" w:h="16838"/>
      <w:pgMar w:top="426" w:right="849" w:bottom="1135"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D4BE" w14:textId="77777777" w:rsidR="00273313" w:rsidRDefault="00273313" w:rsidP="005B62AB">
      <w:pPr>
        <w:spacing w:after="0" w:line="240" w:lineRule="auto"/>
      </w:pPr>
      <w:r>
        <w:separator/>
      </w:r>
    </w:p>
  </w:endnote>
  <w:endnote w:type="continuationSeparator" w:id="0">
    <w:p w14:paraId="1D75BE1C" w14:textId="77777777" w:rsidR="00273313" w:rsidRDefault="00273313" w:rsidP="005B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0F46" w14:textId="68034F27" w:rsidR="000D46E0" w:rsidRDefault="000D46E0">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sidR="008E2D69">
      <w:rPr>
        <w:rFonts w:asciiTheme="majorHAnsi" w:eastAsiaTheme="majorEastAsia" w:hAnsiTheme="majorHAnsi" w:cstheme="majorBidi"/>
        <w:noProof/>
        <w:color w:val="2F5496" w:themeColor="accent1" w:themeShade="BF"/>
        <w:sz w:val="26"/>
        <w:szCs w:val="26"/>
      </w:rPr>
      <w:t>1</w:t>
    </w:r>
    <w:r>
      <w:rPr>
        <w:rFonts w:asciiTheme="majorHAnsi" w:eastAsiaTheme="majorEastAsia" w:hAnsiTheme="majorHAnsi" w:cstheme="majorBidi"/>
        <w:color w:val="2F5496" w:themeColor="accent1" w:themeShade="BF"/>
        <w:sz w:val="26"/>
        <w:szCs w:val="26"/>
      </w:rPr>
      <w:fldChar w:fldCharType="end"/>
    </w:r>
  </w:p>
  <w:p w14:paraId="6D427176" w14:textId="6B9B24FE" w:rsidR="000D46E0" w:rsidRDefault="000D4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B9F5" w14:textId="77777777" w:rsidR="00273313" w:rsidRDefault="00273313" w:rsidP="005B62AB">
      <w:pPr>
        <w:spacing w:after="0" w:line="240" w:lineRule="auto"/>
      </w:pPr>
      <w:r>
        <w:separator/>
      </w:r>
    </w:p>
  </w:footnote>
  <w:footnote w:type="continuationSeparator" w:id="0">
    <w:p w14:paraId="1C972DF2" w14:textId="77777777" w:rsidR="00273313" w:rsidRDefault="00273313" w:rsidP="005B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384E"/>
    <w:multiLevelType w:val="hybridMultilevel"/>
    <w:tmpl w:val="2B4EC286"/>
    <w:lvl w:ilvl="0" w:tplc="47BC65C0">
      <w:start w:val="1"/>
      <w:numFmt w:val="decimal"/>
      <w:lvlText w:val="%1)"/>
      <w:lvlJc w:val="left"/>
      <w:pPr>
        <w:ind w:left="1069" w:hanging="360"/>
      </w:pPr>
      <w:rPr>
        <w:b/>
        <w:bCs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45A624D"/>
    <w:multiLevelType w:val="hybridMultilevel"/>
    <w:tmpl w:val="68BC67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56149"/>
    <w:multiLevelType w:val="hybridMultilevel"/>
    <w:tmpl w:val="018EED02"/>
    <w:lvl w:ilvl="0" w:tplc="FFFFFFFF">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DE86331"/>
    <w:multiLevelType w:val="hybridMultilevel"/>
    <w:tmpl w:val="6CE4002C"/>
    <w:lvl w:ilvl="0" w:tplc="BDBA2CE2">
      <w:start w:val="1"/>
      <w:numFmt w:val="decimal"/>
      <w:suff w:val="space"/>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F9145F9"/>
    <w:multiLevelType w:val="hybridMultilevel"/>
    <w:tmpl w:val="68B455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9547E0"/>
    <w:multiLevelType w:val="hybridMultilevel"/>
    <w:tmpl w:val="7CC28A90"/>
    <w:lvl w:ilvl="0" w:tplc="89085B72">
      <w:start w:val="1"/>
      <w:numFmt w:val="decimal"/>
      <w:lvlText w:val="%1."/>
      <w:lvlJc w:val="left"/>
      <w:pPr>
        <w:ind w:left="680" w:hanging="3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4C1E2A"/>
    <w:multiLevelType w:val="hybridMultilevel"/>
    <w:tmpl w:val="07AA6AD6"/>
    <w:lvl w:ilvl="0" w:tplc="94A6102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12438"/>
    <w:multiLevelType w:val="hybridMultilevel"/>
    <w:tmpl w:val="895290FE"/>
    <w:lvl w:ilvl="0" w:tplc="FFFFFFFF">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6514E08"/>
    <w:multiLevelType w:val="hybridMultilevel"/>
    <w:tmpl w:val="29A4E4A8"/>
    <w:lvl w:ilvl="0" w:tplc="88B886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815187">
    <w:abstractNumId w:val="1"/>
  </w:num>
  <w:num w:numId="2" w16cid:durableId="1418405873">
    <w:abstractNumId w:val="6"/>
  </w:num>
  <w:num w:numId="3" w16cid:durableId="1852908079">
    <w:abstractNumId w:val="8"/>
  </w:num>
  <w:num w:numId="4" w16cid:durableId="1304044057">
    <w:abstractNumId w:val="5"/>
  </w:num>
  <w:num w:numId="5" w16cid:durableId="25495172">
    <w:abstractNumId w:val="4"/>
  </w:num>
  <w:num w:numId="6" w16cid:durableId="631984106">
    <w:abstractNumId w:val="3"/>
  </w:num>
  <w:num w:numId="7" w16cid:durableId="214783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1872255">
    <w:abstractNumId w:val="7"/>
  </w:num>
  <w:num w:numId="9" w16cid:durableId="899942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E0"/>
    <w:rsid w:val="00012187"/>
    <w:rsid w:val="00021F20"/>
    <w:rsid w:val="000716EC"/>
    <w:rsid w:val="000B073E"/>
    <w:rsid w:val="000D03E0"/>
    <w:rsid w:val="000D46E0"/>
    <w:rsid w:val="000E6E84"/>
    <w:rsid w:val="0011214E"/>
    <w:rsid w:val="00152A17"/>
    <w:rsid w:val="0017026C"/>
    <w:rsid w:val="00174E7E"/>
    <w:rsid w:val="00180C3B"/>
    <w:rsid w:val="00264D02"/>
    <w:rsid w:val="00273313"/>
    <w:rsid w:val="00276B8F"/>
    <w:rsid w:val="002A3A38"/>
    <w:rsid w:val="002B069B"/>
    <w:rsid w:val="003219B1"/>
    <w:rsid w:val="00434F9E"/>
    <w:rsid w:val="00470E69"/>
    <w:rsid w:val="00481EC2"/>
    <w:rsid w:val="004A519C"/>
    <w:rsid w:val="00551E96"/>
    <w:rsid w:val="00577B76"/>
    <w:rsid w:val="00581D35"/>
    <w:rsid w:val="005B62AB"/>
    <w:rsid w:val="005D4126"/>
    <w:rsid w:val="006638DB"/>
    <w:rsid w:val="00695C53"/>
    <w:rsid w:val="006D23D9"/>
    <w:rsid w:val="006E456D"/>
    <w:rsid w:val="007B0C37"/>
    <w:rsid w:val="008B3AF6"/>
    <w:rsid w:val="008E2D69"/>
    <w:rsid w:val="0091505C"/>
    <w:rsid w:val="0091650A"/>
    <w:rsid w:val="009927EC"/>
    <w:rsid w:val="009E0221"/>
    <w:rsid w:val="00AA326B"/>
    <w:rsid w:val="00BE60DA"/>
    <w:rsid w:val="00C05E74"/>
    <w:rsid w:val="00C07D59"/>
    <w:rsid w:val="00CF79AD"/>
    <w:rsid w:val="00D029E4"/>
    <w:rsid w:val="00D75944"/>
    <w:rsid w:val="00D8052A"/>
    <w:rsid w:val="00DF5B65"/>
    <w:rsid w:val="00E349EF"/>
    <w:rsid w:val="00E54449"/>
    <w:rsid w:val="00EB2BC9"/>
    <w:rsid w:val="00EB619E"/>
    <w:rsid w:val="00EC140E"/>
    <w:rsid w:val="00F15C2C"/>
    <w:rsid w:val="00F66F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FE2"/>
  <w15:chartTrackingRefBased/>
  <w15:docId w15:val="{4A08AF04-3DB5-4AF7-8C7E-C1917EE9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26C"/>
    <w:pPr>
      <w:ind w:left="720"/>
      <w:contextualSpacing/>
    </w:pPr>
  </w:style>
  <w:style w:type="paragraph" w:styleId="En-tte">
    <w:name w:val="header"/>
    <w:basedOn w:val="Normal"/>
    <w:link w:val="En-tteCar"/>
    <w:uiPriority w:val="99"/>
    <w:unhideWhenUsed/>
    <w:rsid w:val="005B62AB"/>
    <w:pPr>
      <w:tabs>
        <w:tab w:val="center" w:pos="4536"/>
        <w:tab w:val="right" w:pos="9072"/>
      </w:tabs>
      <w:spacing w:after="0" w:line="240" w:lineRule="auto"/>
    </w:pPr>
  </w:style>
  <w:style w:type="character" w:customStyle="1" w:styleId="En-tteCar">
    <w:name w:val="En-tête Car"/>
    <w:basedOn w:val="Policepardfaut"/>
    <w:link w:val="En-tte"/>
    <w:uiPriority w:val="99"/>
    <w:rsid w:val="005B62AB"/>
  </w:style>
  <w:style w:type="paragraph" w:styleId="Pieddepage">
    <w:name w:val="footer"/>
    <w:basedOn w:val="Normal"/>
    <w:link w:val="PieddepageCar"/>
    <w:uiPriority w:val="99"/>
    <w:unhideWhenUsed/>
    <w:rsid w:val="005B62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2AB"/>
  </w:style>
  <w:style w:type="character" w:styleId="Marquedecommentaire">
    <w:name w:val="annotation reference"/>
    <w:basedOn w:val="Policepardfaut"/>
    <w:uiPriority w:val="99"/>
    <w:semiHidden/>
    <w:unhideWhenUsed/>
    <w:rsid w:val="00264D02"/>
    <w:rPr>
      <w:sz w:val="16"/>
      <w:szCs w:val="16"/>
    </w:rPr>
  </w:style>
  <w:style w:type="paragraph" w:styleId="Commentaire">
    <w:name w:val="annotation text"/>
    <w:basedOn w:val="Normal"/>
    <w:link w:val="CommentaireCar"/>
    <w:uiPriority w:val="99"/>
    <w:semiHidden/>
    <w:unhideWhenUsed/>
    <w:rsid w:val="00264D02"/>
    <w:pPr>
      <w:spacing w:line="240" w:lineRule="auto"/>
    </w:pPr>
    <w:rPr>
      <w:sz w:val="20"/>
      <w:szCs w:val="20"/>
    </w:rPr>
  </w:style>
  <w:style w:type="character" w:customStyle="1" w:styleId="CommentaireCar">
    <w:name w:val="Commentaire Car"/>
    <w:basedOn w:val="Policepardfaut"/>
    <w:link w:val="Commentaire"/>
    <w:uiPriority w:val="99"/>
    <w:semiHidden/>
    <w:rsid w:val="00264D02"/>
    <w:rPr>
      <w:sz w:val="20"/>
      <w:szCs w:val="20"/>
    </w:rPr>
  </w:style>
  <w:style w:type="paragraph" w:styleId="Objetducommentaire">
    <w:name w:val="annotation subject"/>
    <w:basedOn w:val="Commentaire"/>
    <w:next w:val="Commentaire"/>
    <w:link w:val="ObjetducommentaireCar"/>
    <w:uiPriority w:val="99"/>
    <w:semiHidden/>
    <w:unhideWhenUsed/>
    <w:rsid w:val="00264D02"/>
    <w:rPr>
      <w:b/>
      <w:bCs/>
    </w:rPr>
  </w:style>
  <w:style w:type="character" w:customStyle="1" w:styleId="ObjetducommentaireCar">
    <w:name w:val="Objet du commentaire Car"/>
    <w:basedOn w:val="CommentaireCar"/>
    <w:link w:val="Objetducommentaire"/>
    <w:uiPriority w:val="99"/>
    <w:semiHidden/>
    <w:rsid w:val="00264D02"/>
    <w:rPr>
      <w:b/>
      <w:bCs/>
      <w:sz w:val="20"/>
      <w:szCs w:val="20"/>
    </w:rPr>
  </w:style>
  <w:style w:type="paragraph" w:styleId="Textedebulles">
    <w:name w:val="Balloon Text"/>
    <w:basedOn w:val="Normal"/>
    <w:link w:val="TextedebullesCar"/>
    <w:uiPriority w:val="99"/>
    <w:semiHidden/>
    <w:unhideWhenUsed/>
    <w:rsid w:val="00264D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4D02"/>
    <w:rPr>
      <w:rFonts w:ascii="Segoe UI" w:hAnsi="Segoe UI" w:cs="Segoe UI"/>
      <w:sz w:val="18"/>
      <w:szCs w:val="18"/>
    </w:rPr>
  </w:style>
  <w:style w:type="paragraph" w:styleId="Sous-titre">
    <w:name w:val="Subtitle"/>
    <w:basedOn w:val="Normal"/>
    <w:next w:val="Normal"/>
    <w:link w:val="Sous-titreCar"/>
    <w:uiPriority w:val="11"/>
    <w:qFormat/>
    <w:rsid w:val="0011214E"/>
    <w:pPr>
      <w:spacing w:after="60" w:line="240" w:lineRule="auto"/>
      <w:jc w:val="center"/>
      <w:outlineLvl w:val="1"/>
    </w:pPr>
    <w:rPr>
      <w:rFonts w:ascii="Cambria" w:eastAsia="Times New Roman" w:hAnsi="Cambria" w:cs="Times New Roman"/>
      <w:kern w:val="0"/>
      <w:sz w:val="24"/>
      <w:szCs w:val="24"/>
      <w:lang w:eastAsia="fr-FR"/>
      <w14:ligatures w14:val="none"/>
    </w:rPr>
  </w:style>
  <w:style w:type="character" w:customStyle="1" w:styleId="Sous-titreCar">
    <w:name w:val="Sous-titre Car"/>
    <w:basedOn w:val="Policepardfaut"/>
    <w:link w:val="Sous-titre"/>
    <w:uiPriority w:val="11"/>
    <w:rsid w:val="0011214E"/>
    <w:rPr>
      <w:rFonts w:ascii="Cambria" w:eastAsia="Times New Roman" w:hAnsi="Cambria" w:cs="Times New Roman"/>
      <w:kern w:val="0"/>
      <w:sz w:val="24"/>
      <w:szCs w:val="24"/>
      <w:lang w:eastAsia="fr-FR"/>
      <w14:ligatures w14:val="none"/>
    </w:rPr>
  </w:style>
  <w:style w:type="table" w:styleId="Grilledutableau">
    <w:name w:val="Table Grid"/>
    <w:basedOn w:val="TableauNormal"/>
    <w:uiPriority w:val="39"/>
    <w:rsid w:val="000D46E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6785">
      <w:bodyDiv w:val="1"/>
      <w:marLeft w:val="0"/>
      <w:marRight w:val="0"/>
      <w:marTop w:val="0"/>
      <w:marBottom w:val="0"/>
      <w:divBdr>
        <w:top w:val="none" w:sz="0" w:space="0" w:color="auto"/>
        <w:left w:val="none" w:sz="0" w:space="0" w:color="auto"/>
        <w:bottom w:val="none" w:sz="0" w:space="0" w:color="auto"/>
        <w:right w:val="none" w:sz="0" w:space="0" w:color="auto"/>
      </w:divBdr>
      <w:divsChild>
        <w:div w:id="114102136">
          <w:marLeft w:val="0"/>
          <w:marRight w:val="0"/>
          <w:marTop w:val="0"/>
          <w:marBottom w:val="0"/>
          <w:divBdr>
            <w:top w:val="none" w:sz="0" w:space="0" w:color="auto"/>
            <w:left w:val="none" w:sz="0" w:space="0" w:color="auto"/>
            <w:bottom w:val="none" w:sz="0" w:space="0" w:color="auto"/>
            <w:right w:val="none" w:sz="0" w:space="0" w:color="auto"/>
          </w:divBdr>
        </w:div>
        <w:div w:id="2039381831">
          <w:marLeft w:val="0"/>
          <w:marRight w:val="0"/>
          <w:marTop w:val="0"/>
          <w:marBottom w:val="0"/>
          <w:divBdr>
            <w:top w:val="none" w:sz="0" w:space="0" w:color="auto"/>
            <w:left w:val="none" w:sz="0" w:space="0" w:color="auto"/>
            <w:bottom w:val="none" w:sz="0" w:space="0" w:color="auto"/>
            <w:right w:val="none" w:sz="0" w:space="0" w:color="auto"/>
          </w:divBdr>
        </w:div>
        <w:div w:id="1853294748">
          <w:marLeft w:val="0"/>
          <w:marRight w:val="0"/>
          <w:marTop w:val="0"/>
          <w:marBottom w:val="0"/>
          <w:divBdr>
            <w:top w:val="none" w:sz="0" w:space="0" w:color="auto"/>
            <w:left w:val="none" w:sz="0" w:space="0" w:color="auto"/>
            <w:bottom w:val="none" w:sz="0" w:space="0" w:color="auto"/>
            <w:right w:val="none" w:sz="0" w:space="0" w:color="auto"/>
          </w:divBdr>
        </w:div>
        <w:div w:id="1111783538">
          <w:marLeft w:val="0"/>
          <w:marRight w:val="0"/>
          <w:marTop w:val="0"/>
          <w:marBottom w:val="0"/>
          <w:divBdr>
            <w:top w:val="none" w:sz="0" w:space="0" w:color="auto"/>
            <w:left w:val="none" w:sz="0" w:space="0" w:color="auto"/>
            <w:bottom w:val="none" w:sz="0" w:space="0" w:color="auto"/>
            <w:right w:val="none" w:sz="0" w:space="0" w:color="auto"/>
          </w:divBdr>
        </w:div>
        <w:div w:id="1365060474">
          <w:marLeft w:val="0"/>
          <w:marRight w:val="0"/>
          <w:marTop w:val="0"/>
          <w:marBottom w:val="0"/>
          <w:divBdr>
            <w:top w:val="none" w:sz="0" w:space="0" w:color="auto"/>
            <w:left w:val="none" w:sz="0" w:space="0" w:color="auto"/>
            <w:bottom w:val="none" w:sz="0" w:space="0" w:color="auto"/>
            <w:right w:val="none" w:sz="0" w:space="0" w:color="auto"/>
          </w:divBdr>
        </w:div>
        <w:div w:id="22027153">
          <w:marLeft w:val="0"/>
          <w:marRight w:val="0"/>
          <w:marTop w:val="0"/>
          <w:marBottom w:val="0"/>
          <w:divBdr>
            <w:top w:val="none" w:sz="0" w:space="0" w:color="auto"/>
            <w:left w:val="none" w:sz="0" w:space="0" w:color="auto"/>
            <w:bottom w:val="none" w:sz="0" w:space="0" w:color="auto"/>
            <w:right w:val="none" w:sz="0" w:space="0" w:color="auto"/>
          </w:divBdr>
        </w:div>
        <w:div w:id="135151812">
          <w:marLeft w:val="0"/>
          <w:marRight w:val="0"/>
          <w:marTop w:val="0"/>
          <w:marBottom w:val="0"/>
          <w:divBdr>
            <w:top w:val="none" w:sz="0" w:space="0" w:color="auto"/>
            <w:left w:val="none" w:sz="0" w:space="0" w:color="auto"/>
            <w:bottom w:val="none" w:sz="0" w:space="0" w:color="auto"/>
            <w:right w:val="none" w:sz="0" w:space="0" w:color="auto"/>
          </w:divBdr>
        </w:div>
        <w:div w:id="1099839188">
          <w:marLeft w:val="0"/>
          <w:marRight w:val="0"/>
          <w:marTop w:val="0"/>
          <w:marBottom w:val="0"/>
          <w:divBdr>
            <w:top w:val="none" w:sz="0" w:space="0" w:color="auto"/>
            <w:left w:val="none" w:sz="0" w:space="0" w:color="auto"/>
            <w:bottom w:val="none" w:sz="0" w:space="0" w:color="auto"/>
            <w:right w:val="none" w:sz="0" w:space="0" w:color="auto"/>
          </w:divBdr>
        </w:div>
        <w:div w:id="1749383338">
          <w:marLeft w:val="0"/>
          <w:marRight w:val="0"/>
          <w:marTop w:val="0"/>
          <w:marBottom w:val="0"/>
          <w:divBdr>
            <w:top w:val="none" w:sz="0" w:space="0" w:color="auto"/>
            <w:left w:val="none" w:sz="0" w:space="0" w:color="auto"/>
            <w:bottom w:val="none" w:sz="0" w:space="0" w:color="auto"/>
            <w:right w:val="none" w:sz="0" w:space="0" w:color="auto"/>
          </w:divBdr>
        </w:div>
        <w:div w:id="1139540499">
          <w:marLeft w:val="0"/>
          <w:marRight w:val="0"/>
          <w:marTop w:val="0"/>
          <w:marBottom w:val="0"/>
          <w:divBdr>
            <w:top w:val="none" w:sz="0" w:space="0" w:color="auto"/>
            <w:left w:val="none" w:sz="0" w:space="0" w:color="auto"/>
            <w:bottom w:val="none" w:sz="0" w:space="0" w:color="auto"/>
            <w:right w:val="none" w:sz="0" w:space="0" w:color="auto"/>
          </w:divBdr>
        </w:div>
        <w:div w:id="215166525">
          <w:marLeft w:val="0"/>
          <w:marRight w:val="0"/>
          <w:marTop w:val="0"/>
          <w:marBottom w:val="0"/>
          <w:divBdr>
            <w:top w:val="none" w:sz="0" w:space="0" w:color="auto"/>
            <w:left w:val="none" w:sz="0" w:space="0" w:color="auto"/>
            <w:bottom w:val="none" w:sz="0" w:space="0" w:color="auto"/>
            <w:right w:val="none" w:sz="0" w:space="0" w:color="auto"/>
          </w:divBdr>
        </w:div>
        <w:div w:id="12197727">
          <w:marLeft w:val="0"/>
          <w:marRight w:val="0"/>
          <w:marTop w:val="0"/>
          <w:marBottom w:val="0"/>
          <w:divBdr>
            <w:top w:val="none" w:sz="0" w:space="0" w:color="auto"/>
            <w:left w:val="none" w:sz="0" w:space="0" w:color="auto"/>
            <w:bottom w:val="none" w:sz="0" w:space="0" w:color="auto"/>
            <w:right w:val="none" w:sz="0" w:space="0" w:color="auto"/>
          </w:divBdr>
        </w:div>
      </w:divsChild>
    </w:div>
    <w:div w:id="1201170701">
      <w:bodyDiv w:val="1"/>
      <w:marLeft w:val="0"/>
      <w:marRight w:val="0"/>
      <w:marTop w:val="0"/>
      <w:marBottom w:val="0"/>
      <w:divBdr>
        <w:top w:val="none" w:sz="0" w:space="0" w:color="auto"/>
        <w:left w:val="none" w:sz="0" w:space="0" w:color="auto"/>
        <w:bottom w:val="none" w:sz="0" w:space="0" w:color="auto"/>
        <w:right w:val="none" w:sz="0" w:space="0" w:color="auto"/>
      </w:divBdr>
      <w:divsChild>
        <w:div w:id="2026206344">
          <w:marLeft w:val="0"/>
          <w:marRight w:val="0"/>
          <w:marTop w:val="0"/>
          <w:marBottom w:val="0"/>
          <w:divBdr>
            <w:top w:val="none" w:sz="0" w:space="0" w:color="auto"/>
            <w:left w:val="none" w:sz="0" w:space="0" w:color="auto"/>
            <w:bottom w:val="none" w:sz="0" w:space="0" w:color="auto"/>
            <w:right w:val="none" w:sz="0" w:space="0" w:color="auto"/>
          </w:divBdr>
        </w:div>
        <w:div w:id="939482983">
          <w:marLeft w:val="0"/>
          <w:marRight w:val="0"/>
          <w:marTop w:val="0"/>
          <w:marBottom w:val="0"/>
          <w:divBdr>
            <w:top w:val="none" w:sz="0" w:space="0" w:color="auto"/>
            <w:left w:val="none" w:sz="0" w:space="0" w:color="auto"/>
            <w:bottom w:val="none" w:sz="0" w:space="0" w:color="auto"/>
            <w:right w:val="none" w:sz="0" w:space="0" w:color="auto"/>
          </w:divBdr>
        </w:div>
        <w:div w:id="659307315">
          <w:marLeft w:val="0"/>
          <w:marRight w:val="0"/>
          <w:marTop w:val="0"/>
          <w:marBottom w:val="0"/>
          <w:divBdr>
            <w:top w:val="none" w:sz="0" w:space="0" w:color="auto"/>
            <w:left w:val="none" w:sz="0" w:space="0" w:color="auto"/>
            <w:bottom w:val="none" w:sz="0" w:space="0" w:color="auto"/>
            <w:right w:val="none" w:sz="0" w:space="0" w:color="auto"/>
          </w:divBdr>
        </w:div>
        <w:div w:id="1050229666">
          <w:marLeft w:val="0"/>
          <w:marRight w:val="0"/>
          <w:marTop w:val="0"/>
          <w:marBottom w:val="0"/>
          <w:divBdr>
            <w:top w:val="none" w:sz="0" w:space="0" w:color="auto"/>
            <w:left w:val="none" w:sz="0" w:space="0" w:color="auto"/>
            <w:bottom w:val="none" w:sz="0" w:space="0" w:color="auto"/>
            <w:right w:val="none" w:sz="0" w:space="0" w:color="auto"/>
          </w:divBdr>
        </w:div>
        <w:div w:id="1297103285">
          <w:marLeft w:val="0"/>
          <w:marRight w:val="0"/>
          <w:marTop w:val="0"/>
          <w:marBottom w:val="0"/>
          <w:divBdr>
            <w:top w:val="none" w:sz="0" w:space="0" w:color="auto"/>
            <w:left w:val="none" w:sz="0" w:space="0" w:color="auto"/>
            <w:bottom w:val="none" w:sz="0" w:space="0" w:color="auto"/>
            <w:right w:val="none" w:sz="0" w:space="0" w:color="auto"/>
          </w:divBdr>
        </w:div>
        <w:div w:id="2101683825">
          <w:marLeft w:val="0"/>
          <w:marRight w:val="0"/>
          <w:marTop w:val="0"/>
          <w:marBottom w:val="0"/>
          <w:divBdr>
            <w:top w:val="none" w:sz="0" w:space="0" w:color="auto"/>
            <w:left w:val="none" w:sz="0" w:space="0" w:color="auto"/>
            <w:bottom w:val="none" w:sz="0" w:space="0" w:color="auto"/>
            <w:right w:val="none" w:sz="0" w:space="0" w:color="auto"/>
          </w:divBdr>
        </w:div>
        <w:div w:id="1377118227">
          <w:marLeft w:val="0"/>
          <w:marRight w:val="0"/>
          <w:marTop w:val="0"/>
          <w:marBottom w:val="0"/>
          <w:divBdr>
            <w:top w:val="none" w:sz="0" w:space="0" w:color="auto"/>
            <w:left w:val="none" w:sz="0" w:space="0" w:color="auto"/>
            <w:bottom w:val="none" w:sz="0" w:space="0" w:color="auto"/>
            <w:right w:val="none" w:sz="0" w:space="0" w:color="auto"/>
          </w:divBdr>
        </w:div>
        <w:div w:id="1950310074">
          <w:marLeft w:val="0"/>
          <w:marRight w:val="0"/>
          <w:marTop w:val="0"/>
          <w:marBottom w:val="0"/>
          <w:divBdr>
            <w:top w:val="none" w:sz="0" w:space="0" w:color="auto"/>
            <w:left w:val="none" w:sz="0" w:space="0" w:color="auto"/>
            <w:bottom w:val="none" w:sz="0" w:space="0" w:color="auto"/>
            <w:right w:val="none" w:sz="0" w:space="0" w:color="auto"/>
          </w:divBdr>
        </w:div>
        <w:div w:id="802430102">
          <w:marLeft w:val="0"/>
          <w:marRight w:val="0"/>
          <w:marTop w:val="0"/>
          <w:marBottom w:val="0"/>
          <w:divBdr>
            <w:top w:val="none" w:sz="0" w:space="0" w:color="auto"/>
            <w:left w:val="none" w:sz="0" w:space="0" w:color="auto"/>
            <w:bottom w:val="none" w:sz="0" w:space="0" w:color="auto"/>
            <w:right w:val="none" w:sz="0" w:space="0" w:color="auto"/>
          </w:divBdr>
        </w:div>
        <w:div w:id="742527414">
          <w:marLeft w:val="0"/>
          <w:marRight w:val="0"/>
          <w:marTop w:val="0"/>
          <w:marBottom w:val="0"/>
          <w:divBdr>
            <w:top w:val="none" w:sz="0" w:space="0" w:color="auto"/>
            <w:left w:val="none" w:sz="0" w:space="0" w:color="auto"/>
            <w:bottom w:val="none" w:sz="0" w:space="0" w:color="auto"/>
            <w:right w:val="none" w:sz="0" w:space="0" w:color="auto"/>
          </w:divBdr>
        </w:div>
        <w:div w:id="192873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2004</Words>
  <Characters>11025</Characters>
  <Application>Microsoft Office Word</Application>
  <DocSecurity>0</DocSecurity>
  <Lines>91</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ourich</dc:creator>
  <cp:keywords/>
  <dc:description/>
  <cp:lastModifiedBy>badr ourich</cp:lastModifiedBy>
  <cp:revision>2</cp:revision>
  <cp:lastPrinted>2025-04-16T12:46:00Z</cp:lastPrinted>
  <dcterms:created xsi:type="dcterms:W3CDTF">2025-04-21T12:12:00Z</dcterms:created>
  <dcterms:modified xsi:type="dcterms:W3CDTF">2025-04-21T12:12:00Z</dcterms:modified>
</cp:coreProperties>
</file>